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ascii="仿宋_GB2312" w:hAnsi="宋体" w:eastAsia="仿宋_GB2312" w:cs="Times New Roman"/>
          <w:b/>
          <w:bCs/>
          <w:sz w:val="36"/>
          <w:szCs w:val="36"/>
        </w:rPr>
        <w:t>报刊阅览室阅</w:t>
      </w: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览</w:t>
      </w:r>
      <w:r>
        <w:rPr>
          <w:rFonts w:ascii="仿宋_GB2312" w:hAnsi="宋体" w:eastAsia="仿宋_GB2312" w:cs="Times New Roman"/>
          <w:b/>
          <w:bCs/>
          <w:sz w:val="36"/>
          <w:szCs w:val="36"/>
        </w:rPr>
        <w:t>规则</w:t>
      </w:r>
    </w:p>
    <w:p>
      <w:pPr>
        <w:widowControl/>
        <w:snapToGrid w:val="0"/>
        <w:spacing w:line="360" w:lineRule="auto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bookmarkStart w:id="0" w:name="_GoBack"/>
      <w:r>
        <w:rPr>
          <w:rFonts w:ascii="仿宋_GB2312" w:hAnsi="宋体" w:eastAsia="仿宋_GB2312" w:cs="Times New Roman"/>
          <w:sz w:val="30"/>
          <w:szCs w:val="30"/>
        </w:rPr>
        <w:t>读者凭本人有效证件（包括</w:t>
      </w:r>
      <w:r>
        <w:rPr>
          <w:rFonts w:hint="eastAsia" w:ascii="仿宋_GB2312" w:hAnsi="宋体" w:eastAsia="仿宋_GB2312" w:cs="Times New Roman"/>
          <w:sz w:val="30"/>
          <w:szCs w:val="30"/>
        </w:rPr>
        <w:t>校园一卡通</w:t>
      </w:r>
      <w:r>
        <w:rPr>
          <w:rFonts w:ascii="仿宋_GB2312" w:hAnsi="宋体" w:eastAsia="仿宋_GB2312" w:cs="Times New Roman"/>
          <w:sz w:val="30"/>
          <w:szCs w:val="30"/>
        </w:rPr>
        <w:t>、</w:t>
      </w:r>
      <w:r>
        <w:rPr>
          <w:rFonts w:hint="eastAsia" w:ascii="仿宋_GB2312" w:hAnsi="宋体" w:eastAsia="仿宋_GB2312" w:cs="Times New Roman"/>
          <w:sz w:val="30"/>
          <w:szCs w:val="30"/>
        </w:rPr>
        <w:t>身份证等）进入阅览室阅览。</w:t>
      </w:r>
      <w:r>
        <w:rPr>
          <w:rFonts w:ascii="仿宋_GB2312" w:hAnsi="宋体" w:eastAsia="仿宋_GB2312" w:cs="Times New Roman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本室报刊实行开架阅览，请勿携带书包进入阅览室。</w:t>
      </w:r>
      <w:r>
        <w:rPr>
          <w:rFonts w:ascii="仿宋_GB2312" w:hAnsi="宋体" w:eastAsia="仿宋_GB2312" w:cs="Times New Roman"/>
          <w:sz w:val="30"/>
          <w:szCs w:val="30"/>
        </w:rPr>
        <w:br w:type="textWrapping"/>
      </w:r>
      <w:r>
        <w:rPr>
          <w:rFonts w:ascii="仿宋_GB2312" w:hAnsi="宋体" w:eastAsia="仿宋_GB2312" w:cs="Times New Roman"/>
          <w:sz w:val="30"/>
          <w:szCs w:val="30"/>
        </w:rPr>
        <w:t>3. 阅览时请保持安静，手机或电脑等设备调至静音，不得喧哗、朗</w:t>
      </w:r>
      <w:r>
        <w:rPr>
          <w:rFonts w:hint="eastAsia" w:ascii="仿宋_GB2312" w:hAnsi="宋体" w:eastAsia="仿宋_GB2312" w:cs="Times New Roman"/>
          <w:sz w:val="30"/>
          <w:szCs w:val="30"/>
        </w:rPr>
        <w:t>读或大声接打手机。请勿在室内吸烟、吃零食、乱扔废弃物品。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爱护报刊和各种设施，不得在报刊、桌椅上刻画。如发现污损、</w:t>
      </w:r>
      <w:r>
        <w:rPr>
          <w:rFonts w:hint="eastAsia" w:ascii="仿宋_GB2312" w:hAnsi="宋体" w:eastAsia="仿宋_GB2312" w:cs="Times New Roman"/>
          <w:sz w:val="30"/>
          <w:szCs w:val="30"/>
        </w:rPr>
        <w:t>撕毁、盗窃报刊、破坏公共设施者，将给予通报批评，并按实际情况加倍赔偿。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20" w:firstLineChars="0"/>
        <w:textAlignment w:val="auto"/>
      </w:pPr>
      <w:r>
        <w:rPr>
          <w:rFonts w:hint="eastAsia" w:ascii="仿宋_GB2312" w:hAnsi="宋体" w:eastAsia="仿宋_GB2312" w:cs="Times New Roman"/>
          <w:sz w:val="30"/>
          <w:szCs w:val="30"/>
        </w:rPr>
        <w:t>如需帮助请与工作人员接洽，不得私自将报刊携出室外。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5368B"/>
    <w:multiLevelType w:val="singleLevel"/>
    <w:tmpl w:val="5845368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24CE4EE0"/>
    <w:rsid w:val="24C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2023-09-15T02:05:00Z</dcterms:created>
  <dc:creator>奋飞的鱼</dc:creator>
  <cp:lastModifiedBy>奋飞的鱼</cp:lastModifiedBy>
  <dcterms:modified xsi:type="dcterms:W3CDTF">2023-09-15T02:06:22Z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FC74CCEE509544408045C1E74F0AFBF7_11</vt:lpwstr>
  </property>
</Properties>
</file>