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BD" w:rsidRDefault="000F2FBD" w:rsidP="000F2FBD">
      <w:pPr>
        <w:spacing w:line="560" w:lineRule="exact"/>
        <w:jc w:val="center"/>
        <w:rPr>
          <w:rFonts w:ascii="方正小标宋简体" w:eastAsia="方正小标宋简体" w:hint="eastAsia"/>
          <w:sz w:val="36"/>
          <w:szCs w:val="36"/>
        </w:rPr>
      </w:pPr>
      <w:bookmarkStart w:id="0" w:name="_Toc23135"/>
      <w:r>
        <w:rPr>
          <w:rFonts w:ascii="方正小标宋简体" w:eastAsia="方正小标宋简体" w:hint="eastAsia"/>
          <w:sz w:val="36"/>
          <w:szCs w:val="36"/>
        </w:rPr>
        <w:t>部门整体绩效评价报告</w:t>
      </w:r>
    </w:p>
    <w:p w:rsidR="000F2FBD" w:rsidRDefault="000F2FBD" w:rsidP="000F2FBD">
      <w:pPr>
        <w:spacing w:line="600" w:lineRule="exact"/>
        <w:ind w:firstLineChars="200" w:firstLine="640"/>
        <w:rPr>
          <w:rFonts w:ascii="黑体" w:eastAsia="黑体" w:hAnsi="黑体" w:cs="宋体" w:hint="eastAsia"/>
          <w:color w:val="000000"/>
          <w:kern w:val="0"/>
          <w:sz w:val="32"/>
          <w:szCs w:val="32"/>
        </w:rPr>
      </w:pPr>
      <w:r>
        <w:rPr>
          <w:rFonts w:ascii="黑体" w:eastAsia="黑体" w:hAnsi="黑体" w:cs="宋体"/>
          <w:color w:val="000000"/>
          <w:kern w:val="0"/>
          <w:sz w:val="32"/>
          <w:szCs w:val="32"/>
        </w:rPr>
        <w:t>一、部门概况</w:t>
      </w:r>
      <w:bookmarkStart w:id="1" w:name="_Toc11099"/>
      <w:bookmarkStart w:id="2" w:name="_Toc27804"/>
      <w:bookmarkEnd w:id="0"/>
    </w:p>
    <w:p w:rsidR="000F2FBD" w:rsidRDefault="000F2FBD" w:rsidP="000F2FBD">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（一）机构设置及职责工作任务情况</w:t>
      </w:r>
      <w:bookmarkEnd w:id="1"/>
      <w:bookmarkEnd w:id="2"/>
    </w:p>
    <w:p w:rsidR="000F2FBD" w:rsidRDefault="000F2FBD" w:rsidP="000F2FBD">
      <w:pPr>
        <w:pStyle w:val="a0"/>
        <w:ind w:firstLine="560"/>
        <w:rPr>
          <w:rFonts w:ascii="仿宋_GB2312" w:eastAsia="仿宋_GB2312" w:hint="eastAsia"/>
          <w:sz w:val="28"/>
          <w:szCs w:val="28"/>
        </w:rPr>
      </w:pPr>
      <w:r>
        <w:rPr>
          <w:rFonts w:ascii="仿宋_GB2312" w:eastAsia="仿宋_GB2312" w:hint="eastAsia"/>
          <w:sz w:val="28"/>
          <w:szCs w:val="28"/>
        </w:rPr>
        <w:t>中共北京市委党校（北京行政学院）是市委的重要部门，是培训全市局、处级领导干部和优秀中青年干部的学校，是干部培训的主渠道，是党的思想理论建设的重要阵地，是本市哲学社会科学研究机构和首都新型高端智库，是市委直属公益一类事业单位，机构规格为正局级。中共北京市委党校（北京行政学院）实行一个机构两块牌子。</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1.机构设置</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内设31个机构，包括教学科研部门10个，教学科研辅助部门3个，教学科研行政管理部门17个和分支机构1个，无下属单位。</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2.主要职责：</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一是有计划地培训局级领导干部、处级领导干部、优秀中青年干部、市管国有企业负责人、市属高校负责人、乡镇(街道)党政领导干部、少数民族领导干部、理论宣传骨干、哲学社会科学教学科研骨干等，负责对学员在培训期间的表现进行考核，提出考核意见。</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二是对学员进行马克思列宁主义、毛泽东思想、邓小平理论、“三个代表”重要思想、科学发展观、习近平新时代中国特色社会主义思想教育和党性教育，引导学员增强“四个意识”、坚定“四个自信”、做到“两个维护”。</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三是开展马克思主义基本理论研究，研究宣传习近平新时代中国特色社会主义思想。</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lastRenderedPageBreak/>
        <w:t>四是开展重大理论问题和现实问题研究，为市委、市政府提供决策咨询服务，发挥首都新型</w:t>
      </w:r>
      <w:proofErr w:type="gramStart"/>
      <w:r>
        <w:rPr>
          <w:rFonts w:ascii="仿宋_GB2312" w:eastAsia="仿宋_GB2312" w:hint="eastAsia"/>
          <w:sz w:val="28"/>
          <w:szCs w:val="28"/>
        </w:rPr>
        <w:t>高端智库作用</w:t>
      </w:r>
      <w:proofErr w:type="gramEnd"/>
      <w:r>
        <w:rPr>
          <w:rFonts w:ascii="仿宋_GB2312" w:eastAsia="仿宋_GB2312" w:hint="eastAsia"/>
          <w:sz w:val="28"/>
          <w:szCs w:val="28"/>
        </w:rPr>
        <w:t>。</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五是受市委、市政府以及相关部门委托，举办各类专题研讨班，研讨重大理论、战略和政策问题。</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六是以培养马克思主义理论人才为主要目标，在国家批准的学科和专业学位类别内开展学位研究生教育。</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七是对各区党校（行政学院）和其他基层党校进行业务指导，承担各党校（行政学院）领导干部和教研骨干的培训，组织编写党校（行政学院）基本教材。</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八是开展同国（境）外有关机构和组织的学术交流与合作办学。</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九是参与市委关于党校（行政学院）工作政策以及干部培训计划的制定工作。</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十是完成市委、市政府交办的其他任务。</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3.人员构成情况</w:t>
      </w:r>
    </w:p>
    <w:p w:rsidR="000F2FBD" w:rsidRDefault="000F2FBD" w:rsidP="000F2FBD">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中共北京市委党校（北京行政学院）行政编制185人，实有人数173人；事业编制309人，实有人数258人。</w:t>
      </w:r>
    </w:p>
    <w:p w:rsidR="000F2FBD" w:rsidRDefault="000F2FBD" w:rsidP="000F2FBD">
      <w:pPr>
        <w:spacing w:line="360" w:lineRule="auto"/>
        <w:ind w:firstLineChars="200" w:firstLine="640"/>
        <w:rPr>
          <w:rFonts w:ascii="楷体_GB2312" w:eastAsia="楷体_GB2312"/>
          <w:sz w:val="32"/>
          <w:szCs w:val="32"/>
        </w:rPr>
      </w:pPr>
      <w:bookmarkStart w:id="3" w:name="_Toc13728"/>
      <w:r>
        <w:rPr>
          <w:rFonts w:ascii="楷体_GB2312" w:eastAsia="楷体_GB2312"/>
          <w:sz w:val="32"/>
          <w:szCs w:val="32"/>
        </w:rPr>
        <w:t>（二）部门整体绩效目标设立情况</w:t>
      </w:r>
      <w:bookmarkEnd w:id="3"/>
    </w:p>
    <w:p w:rsidR="000F2FBD" w:rsidRDefault="000F2FBD" w:rsidP="000F2FBD">
      <w:pPr>
        <w:spacing w:line="360" w:lineRule="auto"/>
        <w:ind w:firstLineChars="200" w:firstLine="560"/>
        <w:rPr>
          <w:rFonts w:ascii="仿宋_GB2312" w:eastAsia="仿宋_GB2312"/>
          <w:sz w:val="28"/>
          <w:szCs w:val="28"/>
        </w:rPr>
      </w:pPr>
      <w:r>
        <w:rPr>
          <w:rFonts w:ascii="仿宋_GB2312" w:eastAsia="仿宋_GB2312"/>
          <w:sz w:val="28"/>
          <w:szCs w:val="28"/>
        </w:rPr>
        <w:t>围绕部门职能及年度工作计划设置2022年度部门整体绩效目标，从教学培训、科学研究、</w:t>
      </w:r>
      <w:r>
        <w:rPr>
          <w:rFonts w:ascii="仿宋_GB2312" w:eastAsia="仿宋_GB2312" w:hint="eastAsia"/>
          <w:sz w:val="28"/>
          <w:szCs w:val="28"/>
        </w:rPr>
        <w:t>决策咨询课题研究</w:t>
      </w:r>
      <w:r>
        <w:rPr>
          <w:rFonts w:ascii="仿宋_GB2312" w:eastAsia="仿宋_GB2312"/>
          <w:sz w:val="28"/>
          <w:szCs w:val="28"/>
        </w:rPr>
        <w:t>、党校教学保障、机构运行保障等5个方面设置了绩效指标。绩效指标围绕2022年部门重点工作任务，突出</w:t>
      </w:r>
      <w:r>
        <w:rPr>
          <w:rFonts w:ascii="仿宋_GB2312" w:eastAsia="仿宋_GB2312" w:hint="eastAsia"/>
          <w:sz w:val="28"/>
          <w:szCs w:val="28"/>
        </w:rPr>
        <w:t>“</w:t>
      </w:r>
      <w:r>
        <w:rPr>
          <w:rFonts w:ascii="仿宋_GB2312" w:eastAsia="仿宋_GB2312"/>
          <w:sz w:val="28"/>
          <w:szCs w:val="28"/>
        </w:rPr>
        <w:t>举办党校教学培训</w:t>
      </w:r>
      <w:r>
        <w:rPr>
          <w:rFonts w:ascii="仿宋_GB2312" w:eastAsia="仿宋_GB2312"/>
          <w:sz w:val="28"/>
          <w:szCs w:val="28"/>
        </w:rPr>
        <w:t>≥</w:t>
      </w:r>
      <w:r>
        <w:rPr>
          <w:rFonts w:ascii="仿宋_GB2312" w:eastAsia="仿宋_GB2312"/>
          <w:sz w:val="28"/>
          <w:szCs w:val="28"/>
        </w:rPr>
        <w:t>76期</w:t>
      </w:r>
      <w:r>
        <w:rPr>
          <w:rFonts w:ascii="仿宋_GB2312" w:eastAsia="仿宋_GB2312" w:hint="eastAsia"/>
          <w:sz w:val="28"/>
          <w:szCs w:val="28"/>
        </w:rPr>
        <w:t>”“</w:t>
      </w:r>
      <w:r>
        <w:rPr>
          <w:rFonts w:ascii="仿宋_GB2312" w:eastAsia="仿宋_GB2312"/>
          <w:sz w:val="28"/>
          <w:szCs w:val="28"/>
        </w:rPr>
        <w:t>《北京行政学院学报》6期</w:t>
      </w:r>
      <w:r>
        <w:rPr>
          <w:rFonts w:ascii="仿宋_GB2312" w:eastAsia="仿宋_GB2312" w:hint="eastAsia"/>
          <w:sz w:val="28"/>
          <w:szCs w:val="28"/>
        </w:rPr>
        <w:t>”“《北京干部教育》11期”“</w:t>
      </w:r>
      <w:r>
        <w:rPr>
          <w:rFonts w:ascii="仿宋_GB2312" w:eastAsia="仿宋_GB2312"/>
          <w:sz w:val="28"/>
          <w:szCs w:val="28"/>
        </w:rPr>
        <w:t>资助科研项目、著作</w:t>
      </w:r>
      <w:r>
        <w:rPr>
          <w:rFonts w:ascii="仿宋_GB2312" w:eastAsia="仿宋_GB2312"/>
          <w:sz w:val="28"/>
          <w:szCs w:val="28"/>
        </w:rPr>
        <w:t>≥</w:t>
      </w:r>
      <w:r>
        <w:rPr>
          <w:rFonts w:ascii="仿宋_GB2312" w:eastAsia="仿宋_GB2312"/>
          <w:sz w:val="28"/>
          <w:szCs w:val="28"/>
        </w:rPr>
        <w:t>47项</w:t>
      </w:r>
      <w:r>
        <w:rPr>
          <w:rFonts w:ascii="仿宋_GB2312" w:eastAsia="仿宋_GB2312"/>
          <w:sz w:val="28"/>
          <w:szCs w:val="28"/>
        </w:rPr>
        <w:t>”“</w:t>
      </w:r>
      <w:r>
        <w:rPr>
          <w:rFonts w:ascii="仿宋_GB2312" w:eastAsia="仿宋_GB2312"/>
          <w:sz w:val="28"/>
          <w:szCs w:val="28"/>
        </w:rPr>
        <w:t>学科</w:t>
      </w:r>
      <w:r>
        <w:rPr>
          <w:rFonts w:ascii="仿宋_GB2312" w:eastAsia="仿宋_GB2312"/>
          <w:sz w:val="28"/>
          <w:szCs w:val="28"/>
        </w:rPr>
        <w:lastRenderedPageBreak/>
        <w:t>建设</w:t>
      </w:r>
      <w:r>
        <w:rPr>
          <w:rFonts w:ascii="仿宋_GB2312" w:eastAsia="仿宋_GB2312"/>
          <w:sz w:val="28"/>
          <w:szCs w:val="28"/>
        </w:rPr>
        <w:t>≥</w:t>
      </w:r>
      <w:r>
        <w:rPr>
          <w:rFonts w:ascii="仿宋_GB2312" w:eastAsia="仿宋_GB2312"/>
          <w:sz w:val="28"/>
          <w:szCs w:val="28"/>
        </w:rPr>
        <w:t>43个</w:t>
      </w:r>
      <w:r>
        <w:rPr>
          <w:rFonts w:ascii="仿宋_GB2312" w:eastAsia="仿宋_GB2312" w:hint="eastAsia"/>
          <w:sz w:val="28"/>
          <w:szCs w:val="28"/>
        </w:rPr>
        <w:t>”“</w:t>
      </w:r>
      <w:r>
        <w:rPr>
          <w:rFonts w:ascii="仿宋_GB2312" w:eastAsia="仿宋_GB2312"/>
          <w:sz w:val="28"/>
          <w:szCs w:val="28"/>
        </w:rPr>
        <w:t>各类二次文献及网站摘转篇数</w:t>
      </w:r>
      <w:r>
        <w:rPr>
          <w:rFonts w:ascii="仿宋_GB2312" w:eastAsia="仿宋_GB2312"/>
          <w:sz w:val="28"/>
          <w:szCs w:val="28"/>
        </w:rPr>
        <w:t>≥</w:t>
      </w:r>
      <w:r>
        <w:rPr>
          <w:rFonts w:ascii="仿宋_GB2312" w:eastAsia="仿宋_GB2312"/>
          <w:sz w:val="28"/>
          <w:szCs w:val="28"/>
        </w:rPr>
        <w:t>20篇</w:t>
      </w:r>
      <w:r>
        <w:rPr>
          <w:rFonts w:ascii="仿宋_GB2312" w:eastAsia="仿宋_GB2312"/>
          <w:sz w:val="28"/>
          <w:szCs w:val="28"/>
        </w:rPr>
        <w:t>”“</w:t>
      </w:r>
      <w:r>
        <w:rPr>
          <w:rFonts w:ascii="仿宋_GB2312" w:eastAsia="仿宋_GB2312"/>
          <w:sz w:val="28"/>
          <w:szCs w:val="28"/>
        </w:rPr>
        <w:t>吸引教研人员参加人数</w:t>
      </w:r>
      <w:r>
        <w:rPr>
          <w:rFonts w:ascii="仿宋_GB2312" w:eastAsia="仿宋_GB2312"/>
          <w:sz w:val="28"/>
          <w:szCs w:val="28"/>
        </w:rPr>
        <w:t>≥</w:t>
      </w:r>
      <w:r>
        <w:rPr>
          <w:rFonts w:ascii="仿宋_GB2312" w:eastAsia="仿宋_GB2312"/>
          <w:sz w:val="28"/>
          <w:szCs w:val="28"/>
        </w:rPr>
        <w:t>1000人次</w:t>
      </w:r>
      <w:r>
        <w:rPr>
          <w:rFonts w:ascii="仿宋_GB2312" w:eastAsia="仿宋_GB2312"/>
          <w:sz w:val="28"/>
          <w:szCs w:val="28"/>
        </w:rPr>
        <w:t>”“</w:t>
      </w:r>
      <w:r>
        <w:rPr>
          <w:rFonts w:ascii="仿宋_GB2312" w:eastAsia="仿宋_GB2312"/>
          <w:sz w:val="28"/>
          <w:szCs w:val="28"/>
        </w:rPr>
        <w:t>促进党校内部和对外学术交流，及教研人员了解学科发展前沿动向</w:t>
      </w:r>
      <w:r>
        <w:rPr>
          <w:rFonts w:ascii="仿宋_GB2312" w:eastAsia="仿宋_GB2312"/>
          <w:sz w:val="28"/>
          <w:szCs w:val="28"/>
        </w:rPr>
        <w:t>”“</w:t>
      </w:r>
      <w:r>
        <w:rPr>
          <w:rFonts w:ascii="仿宋_GB2312" w:eastAsia="仿宋_GB2312"/>
          <w:sz w:val="28"/>
          <w:szCs w:val="28"/>
        </w:rPr>
        <w:t>为互联网访问服务提供带宽支撑，保障教职工、学员工作顺利开展</w:t>
      </w:r>
      <w:r>
        <w:rPr>
          <w:rFonts w:ascii="仿宋_GB2312" w:eastAsia="仿宋_GB2312" w:hint="eastAsia"/>
          <w:sz w:val="28"/>
          <w:szCs w:val="28"/>
        </w:rPr>
        <w:t>”“</w:t>
      </w:r>
      <w:r>
        <w:rPr>
          <w:rFonts w:ascii="仿宋_GB2312" w:eastAsia="仿宋_GB2312"/>
          <w:sz w:val="28"/>
          <w:szCs w:val="28"/>
        </w:rPr>
        <w:t>购置设备</w:t>
      </w:r>
      <w:r>
        <w:rPr>
          <w:rFonts w:ascii="仿宋_GB2312" w:eastAsia="仿宋_GB2312"/>
          <w:sz w:val="28"/>
          <w:szCs w:val="28"/>
        </w:rPr>
        <w:t>≥</w:t>
      </w:r>
      <w:r>
        <w:rPr>
          <w:rFonts w:ascii="仿宋_GB2312" w:eastAsia="仿宋_GB2312"/>
          <w:sz w:val="28"/>
          <w:szCs w:val="28"/>
        </w:rPr>
        <w:t>224个（台、套、件、辆）</w:t>
      </w:r>
      <w:r>
        <w:rPr>
          <w:rFonts w:ascii="仿宋_GB2312" w:eastAsia="仿宋_GB2312" w:hint="eastAsia"/>
          <w:sz w:val="28"/>
          <w:szCs w:val="28"/>
        </w:rPr>
        <w:t>”</w:t>
      </w:r>
      <w:r>
        <w:rPr>
          <w:rFonts w:ascii="仿宋_GB2312" w:eastAsia="仿宋_GB2312"/>
          <w:sz w:val="28"/>
          <w:szCs w:val="28"/>
        </w:rPr>
        <w:t>等重点工作产出及效果</w:t>
      </w:r>
      <w:r>
        <w:rPr>
          <w:rFonts w:ascii="仿宋_GB2312" w:eastAsia="仿宋_GB2312" w:hint="eastAsia"/>
          <w:sz w:val="28"/>
          <w:szCs w:val="28"/>
        </w:rPr>
        <w:t>。</w:t>
      </w:r>
      <w:r>
        <w:rPr>
          <w:rFonts w:ascii="仿宋_GB2312" w:eastAsia="仿宋_GB2312"/>
          <w:sz w:val="28"/>
          <w:szCs w:val="28"/>
        </w:rPr>
        <w:t>部门整体绩效目标设置与单位职责、年度工作任务较为相符</w:t>
      </w:r>
      <w:bookmarkStart w:id="4" w:name="_Toc72438580"/>
      <w:bookmarkStart w:id="5" w:name="_Toc72439001"/>
      <w:r>
        <w:rPr>
          <w:rFonts w:ascii="仿宋_GB2312" w:eastAsia="仿宋_GB2312"/>
          <w:sz w:val="28"/>
          <w:szCs w:val="28"/>
        </w:rPr>
        <w:t>。</w:t>
      </w:r>
      <w:bookmarkEnd w:id="4"/>
      <w:bookmarkEnd w:id="5"/>
    </w:p>
    <w:p w:rsidR="000F2FBD" w:rsidRDefault="000F2FBD" w:rsidP="000F2FBD">
      <w:pPr>
        <w:adjustRightInd w:val="0"/>
        <w:snapToGrid w:val="0"/>
        <w:spacing w:line="360" w:lineRule="auto"/>
        <w:jc w:val="center"/>
        <w:rPr>
          <w:rFonts w:eastAsia="黑体" w:hint="eastAsia"/>
          <w:sz w:val="28"/>
          <w:szCs w:val="28"/>
        </w:rPr>
      </w:pPr>
    </w:p>
    <w:p w:rsidR="000F2FBD" w:rsidRDefault="000F2FBD" w:rsidP="000F2FBD">
      <w:pPr>
        <w:adjustRightInd w:val="0"/>
        <w:snapToGrid w:val="0"/>
        <w:spacing w:line="360" w:lineRule="auto"/>
        <w:jc w:val="center"/>
        <w:rPr>
          <w:rFonts w:eastAsia="黑体" w:hint="eastAsia"/>
          <w:sz w:val="28"/>
          <w:szCs w:val="28"/>
        </w:rPr>
      </w:pPr>
      <w:r>
        <w:rPr>
          <w:rFonts w:eastAsia="黑体"/>
          <w:sz w:val="28"/>
          <w:szCs w:val="28"/>
        </w:rPr>
        <w:t>表</w:t>
      </w:r>
      <w:r>
        <w:rPr>
          <w:rFonts w:eastAsia="黑体"/>
          <w:sz w:val="28"/>
          <w:szCs w:val="28"/>
        </w:rPr>
        <w:t>1</w:t>
      </w:r>
      <w:r>
        <w:rPr>
          <w:rFonts w:eastAsia="黑体"/>
          <w:sz w:val="28"/>
          <w:szCs w:val="28"/>
        </w:rPr>
        <w:t>：</w:t>
      </w:r>
      <w:r>
        <w:rPr>
          <w:rFonts w:eastAsia="黑体"/>
          <w:sz w:val="28"/>
          <w:szCs w:val="28"/>
        </w:rPr>
        <w:t>2022</w:t>
      </w:r>
      <w:r>
        <w:rPr>
          <w:rFonts w:eastAsia="黑体"/>
          <w:sz w:val="28"/>
          <w:szCs w:val="28"/>
        </w:rPr>
        <w:t>年度部门整体支出绩效指标表</w:t>
      </w:r>
    </w:p>
    <w:p w:rsidR="000F2FBD" w:rsidRDefault="000F2FBD" w:rsidP="000F2FBD">
      <w:pPr>
        <w:pStyle w:val="a0"/>
        <w:ind w:firstLine="420"/>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013"/>
        <w:gridCol w:w="1022"/>
        <w:gridCol w:w="7017"/>
      </w:tblGrid>
      <w:tr w:rsidR="000F2FBD" w:rsidTr="001F6B1A">
        <w:trPr>
          <w:cantSplit/>
          <w:trHeight w:val="454"/>
          <w:tblHeader/>
          <w:jc w:val="center"/>
        </w:trPr>
        <w:tc>
          <w:tcPr>
            <w:tcW w:w="1013" w:type="dxa"/>
            <w:vAlign w:val="center"/>
          </w:tcPr>
          <w:p w:rsidR="000F2FBD" w:rsidRDefault="000F2FBD" w:rsidP="001F6B1A">
            <w:pPr>
              <w:widowControl/>
              <w:adjustRightInd w:val="0"/>
              <w:snapToGrid w:val="0"/>
              <w:jc w:val="center"/>
              <w:textAlignment w:val="center"/>
              <w:rPr>
                <w:b/>
                <w:bCs/>
                <w:kern w:val="0"/>
                <w:sz w:val="20"/>
                <w:szCs w:val="20"/>
                <w:lang/>
              </w:rPr>
            </w:pPr>
            <w:r>
              <w:rPr>
                <w:b/>
                <w:bCs/>
                <w:kern w:val="0"/>
                <w:sz w:val="20"/>
                <w:szCs w:val="20"/>
                <w:lang/>
              </w:rPr>
              <w:t>一级指标</w:t>
            </w:r>
          </w:p>
        </w:tc>
        <w:tc>
          <w:tcPr>
            <w:tcW w:w="1022" w:type="dxa"/>
            <w:vAlign w:val="center"/>
          </w:tcPr>
          <w:p w:rsidR="000F2FBD" w:rsidRDefault="000F2FBD" w:rsidP="001F6B1A">
            <w:pPr>
              <w:widowControl/>
              <w:adjustRightInd w:val="0"/>
              <w:snapToGrid w:val="0"/>
              <w:jc w:val="center"/>
              <w:textAlignment w:val="center"/>
              <w:rPr>
                <w:b/>
                <w:bCs/>
                <w:sz w:val="20"/>
                <w:szCs w:val="20"/>
              </w:rPr>
            </w:pPr>
            <w:r>
              <w:rPr>
                <w:b/>
                <w:bCs/>
                <w:kern w:val="0"/>
                <w:sz w:val="20"/>
                <w:szCs w:val="20"/>
                <w:lang/>
              </w:rPr>
              <w:t>二级指标</w:t>
            </w:r>
          </w:p>
        </w:tc>
        <w:tc>
          <w:tcPr>
            <w:tcW w:w="7017" w:type="dxa"/>
            <w:vAlign w:val="center"/>
          </w:tcPr>
          <w:p w:rsidR="000F2FBD" w:rsidRDefault="000F2FBD" w:rsidP="001F6B1A">
            <w:pPr>
              <w:widowControl/>
              <w:adjustRightInd w:val="0"/>
              <w:snapToGrid w:val="0"/>
              <w:jc w:val="center"/>
              <w:textAlignment w:val="center"/>
              <w:rPr>
                <w:b/>
                <w:bCs/>
                <w:sz w:val="20"/>
                <w:szCs w:val="20"/>
              </w:rPr>
            </w:pPr>
            <w:r>
              <w:rPr>
                <w:b/>
                <w:bCs/>
                <w:sz w:val="20"/>
                <w:szCs w:val="20"/>
              </w:rPr>
              <w:t>具体指标（指标内容、指标值）</w:t>
            </w:r>
          </w:p>
        </w:tc>
      </w:tr>
      <w:tr w:rsidR="000F2FBD" w:rsidTr="001F6B1A">
        <w:trPr>
          <w:cantSplit/>
          <w:trHeight w:val="454"/>
          <w:jc w:val="center"/>
        </w:trPr>
        <w:tc>
          <w:tcPr>
            <w:tcW w:w="1013" w:type="dxa"/>
            <w:vMerge w:val="restart"/>
            <w:vAlign w:val="center"/>
          </w:tcPr>
          <w:p w:rsidR="000F2FBD" w:rsidRDefault="000F2FBD" w:rsidP="001F6B1A">
            <w:pPr>
              <w:widowControl/>
              <w:adjustRightInd w:val="0"/>
              <w:snapToGrid w:val="0"/>
              <w:jc w:val="center"/>
              <w:textAlignment w:val="center"/>
              <w:rPr>
                <w:bCs/>
                <w:sz w:val="20"/>
                <w:szCs w:val="20"/>
              </w:rPr>
            </w:pPr>
            <w:r>
              <w:rPr>
                <w:bCs/>
                <w:kern w:val="0"/>
                <w:sz w:val="20"/>
                <w:szCs w:val="20"/>
                <w:lang/>
              </w:rPr>
              <w:t>产出指标</w:t>
            </w:r>
          </w:p>
        </w:tc>
        <w:tc>
          <w:tcPr>
            <w:tcW w:w="1022" w:type="dxa"/>
            <w:vMerge w:val="restart"/>
            <w:vAlign w:val="center"/>
          </w:tcPr>
          <w:p w:rsidR="000F2FBD" w:rsidRDefault="000F2FBD" w:rsidP="001F6B1A">
            <w:pPr>
              <w:widowControl/>
              <w:adjustRightInd w:val="0"/>
              <w:snapToGrid w:val="0"/>
              <w:jc w:val="center"/>
              <w:textAlignment w:val="center"/>
              <w:rPr>
                <w:bCs/>
                <w:kern w:val="0"/>
                <w:sz w:val="20"/>
                <w:szCs w:val="20"/>
                <w:lang/>
              </w:rPr>
            </w:pPr>
            <w:r>
              <w:rPr>
                <w:bCs/>
                <w:kern w:val="0"/>
                <w:sz w:val="20"/>
                <w:szCs w:val="20"/>
                <w:lang/>
              </w:rPr>
              <w:t>数量指标</w:t>
            </w:r>
          </w:p>
        </w:tc>
        <w:tc>
          <w:tcPr>
            <w:tcW w:w="7017" w:type="dxa"/>
            <w:vAlign w:val="center"/>
          </w:tcPr>
          <w:p w:rsidR="000F2FBD" w:rsidRDefault="000F2FBD" w:rsidP="001F6B1A">
            <w:pPr>
              <w:widowControl/>
              <w:adjustRightInd w:val="0"/>
              <w:snapToGrid w:val="0"/>
              <w:jc w:val="left"/>
              <w:textAlignment w:val="center"/>
              <w:rPr>
                <w:color w:val="000000"/>
                <w:kern w:val="0"/>
                <w:sz w:val="20"/>
                <w:szCs w:val="20"/>
              </w:rPr>
            </w:pPr>
            <w:r>
              <w:rPr>
                <w:color w:val="000000"/>
                <w:kern w:val="0"/>
                <w:sz w:val="20"/>
                <w:szCs w:val="20"/>
                <w:lang/>
              </w:rPr>
              <w:t>购置设备</w:t>
            </w:r>
            <w:r>
              <w:rPr>
                <w:color w:val="000000"/>
                <w:kern w:val="0"/>
                <w:sz w:val="20"/>
                <w:szCs w:val="20"/>
                <w:lang/>
              </w:rPr>
              <w:t>≥224</w:t>
            </w:r>
            <w:r>
              <w:rPr>
                <w:color w:val="000000"/>
                <w:kern w:val="0"/>
                <w:sz w:val="20"/>
                <w:szCs w:val="20"/>
                <w:lang/>
              </w:rPr>
              <w:t>个（台、套、件、辆）</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购买图书</w:t>
            </w:r>
            <w:r>
              <w:rPr>
                <w:color w:val="000000"/>
                <w:kern w:val="0"/>
                <w:sz w:val="20"/>
                <w:szCs w:val="20"/>
                <w:lang/>
              </w:rPr>
              <w:t>≥4500</w:t>
            </w:r>
            <w:r>
              <w:rPr>
                <w:color w:val="000000"/>
                <w:kern w:val="0"/>
                <w:sz w:val="20"/>
                <w:szCs w:val="20"/>
                <w:lang/>
              </w:rPr>
              <w:t>册</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学术讲坛</w:t>
            </w:r>
            <w:r>
              <w:rPr>
                <w:color w:val="000000"/>
                <w:kern w:val="0"/>
                <w:sz w:val="20"/>
                <w:szCs w:val="20"/>
                <w:lang/>
              </w:rPr>
              <w:t>≥49</w:t>
            </w:r>
            <w:r>
              <w:rPr>
                <w:color w:val="000000"/>
                <w:kern w:val="0"/>
                <w:sz w:val="20"/>
                <w:szCs w:val="20"/>
                <w:lang/>
              </w:rPr>
              <w:t>次</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rPr>
            </w:pPr>
            <w:r>
              <w:rPr>
                <w:color w:val="000000"/>
                <w:kern w:val="0"/>
                <w:sz w:val="20"/>
                <w:szCs w:val="20"/>
              </w:rPr>
              <w:t>《新视野》</w:t>
            </w:r>
            <w:r>
              <w:rPr>
                <w:color w:val="000000"/>
                <w:kern w:val="0"/>
                <w:sz w:val="20"/>
                <w:szCs w:val="20"/>
              </w:rPr>
              <w:t>6</w:t>
            </w:r>
            <w:r>
              <w:rPr>
                <w:color w:val="000000"/>
                <w:kern w:val="0"/>
                <w:sz w:val="20"/>
                <w:szCs w:val="20"/>
              </w:rPr>
              <w:t>期</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rPr>
            </w:pPr>
            <w:r>
              <w:rPr>
                <w:color w:val="000000"/>
                <w:kern w:val="0"/>
                <w:sz w:val="20"/>
                <w:szCs w:val="20"/>
              </w:rPr>
              <w:t>《北京行政学院学报》</w:t>
            </w:r>
            <w:r>
              <w:rPr>
                <w:color w:val="000000"/>
                <w:kern w:val="0"/>
                <w:sz w:val="20"/>
                <w:szCs w:val="20"/>
              </w:rPr>
              <w:t>6</w:t>
            </w:r>
            <w:r>
              <w:rPr>
                <w:color w:val="000000"/>
                <w:kern w:val="0"/>
                <w:sz w:val="20"/>
                <w:szCs w:val="20"/>
              </w:rPr>
              <w:t>期</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rPr>
            </w:pPr>
            <w:r>
              <w:rPr>
                <w:color w:val="000000"/>
                <w:kern w:val="0"/>
                <w:sz w:val="20"/>
                <w:szCs w:val="20"/>
              </w:rPr>
              <w:t>《北京干部教育》</w:t>
            </w:r>
            <w:r>
              <w:rPr>
                <w:color w:val="000000"/>
                <w:kern w:val="0"/>
                <w:sz w:val="20"/>
                <w:szCs w:val="20"/>
              </w:rPr>
              <w:t>11</w:t>
            </w:r>
            <w:r>
              <w:rPr>
                <w:color w:val="000000"/>
                <w:kern w:val="0"/>
                <w:sz w:val="20"/>
                <w:szCs w:val="20"/>
              </w:rPr>
              <w:t>期</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rPr>
            </w:pPr>
            <w:r>
              <w:rPr>
                <w:color w:val="000000"/>
                <w:kern w:val="0"/>
                <w:sz w:val="20"/>
                <w:szCs w:val="20"/>
              </w:rPr>
              <w:t>举办党校教学培训</w:t>
            </w:r>
            <w:r>
              <w:rPr>
                <w:color w:val="000000"/>
                <w:kern w:val="0"/>
                <w:sz w:val="20"/>
                <w:szCs w:val="20"/>
              </w:rPr>
              <w:t>≥76</w:t>
            </w:r>
            <w:r>
              <w:rPr>
                <w:color w:val="000000"/>
                <w:kern w:val="0"/>
                <w:sz w:val="20"/>
                <w:szCs w:val="20"/>
              </w:rPr>
              <w:t>期</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rPr>
            </w:pPr>
            <w:r>
              <w:rPr>
                <w:color w:val="000000"/>
                <w:kern w:val="0"/>
                <w:sz w:val="20"/>
                <w:szCs w:val="20"/>
              </w:rPr>
              <w:t>重点调研课题</w:t>
            </w:r>
            <w:r>
              <w:rPr>
                <w:color w:val="000000"/>
                <w:kern w:val="0"/>
                <w:sz w:val="20"/>
                <w:szCs w:val="20"/>
              </w:rPr>
              <w:t>≥4</w:t>
            </w:r>
            <w:r>
              <w:rPr>
                <w:color w:val="000000"/>
                <w:kern w:val="0"/>
                <w:sz w:val="20"/>
                <w:szCs w:val="20"/>
              </w:rPr>
              <w:t>项</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rPr>
            </w:pPr>
            <w:r>
              <w:rPr>
                <w:color w:val="000000"/>
                <w:kern w:val="0"/>
                <w:sz w:val="20"/>
                <w:szCs w:val="20"/>
              </w:rPr>
              <w:t>资助科研项目、著作</w:t>
            </w:r>
            <w:r>
              <w:rPr>
                <w:color w:val="000000"/>
                <w:kern w:val="0"/>
                <w:sz w:val="20"/>
                <w:szCs w:val="20"/>
              </w:rPr>
              <w:t>≥47</w:t>
            </w:r>
            <w:r>
              <w:rPr>
                <w:color w:val="000000"/>
                <w:kern w:val="0"/>
                <w:sz w:val="20"/>
                <w:szCs w:val="20"/>
              </w:rPr>
              <w:t>项</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教学任务完成率</w:t>
            </w:r>
            <w:r>
              <w:rPr>
                <w:color w:val="000000"/>
                <w:kern w:val="0"/>
                <w:sz w:val="20"/>
                <w:szCs w:val="20"/>
                <w:lang/>
              </w:rPr>
              <w:t>≥95%</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rPr>
            </w:pPr>
            <w:r>
              <w:rPr>
                <w:color w:val="000000"/>
                <w:kern w:val="0"/>
                <w:sz w:val="20"/>
                <w:szCs w:val="20"/>
                <w:lang/>
              </w:rPr>
              <w:t>合作交流访问学者出访</w:t>
            </w:r>
            <w:r>
              <w:rPr>
                <w:color w:val="000000"/>
                <w:kern w:val="0"/>
                <w:sz w:val="20"/>
                <w:szCs w:val="20"/>
                <w:lang/>
              </w:rPr>
              <w:t>≥13</w:t>
            </w:r>
            <w:r>
              <w:rPr>
                <w:color w:val="000000"/>
                <w:kern w:val="0"/>
                <w:sz w:val="20"/>
                <w:szCs w:val="20"/>
                <w:lang/>
              </w:rPr>
              <w:t>人</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学科建设</w:t>
            </w:r>
            <w:r>
              <w:rPr>
                <w:color w:val="000000"/>
                <w:kern w:val="0"/>
                <w:sz w:val="20"/>
                <w:szCs w:val="20"/>
                <w:lang/>
              </w:rPr>
              <w:t>≥43</w:t>
            </w:r>
            <w:r>
              <w:rPr>
                <w:color w:val="000000"/>
                <w:kern w:val="0"/>
                <w:sz w:val="20"/>
                <w:szCs w:val="20"/>
                <w:lang/>
              </w:rPr>
              <w:t>个</w:t>
            </w:r>
          </w:p>
        </w:tc>
      </w:tr>
      <w:tr w:rsidR="000F2FBD" w:rsidTr="001F6B1A">
        <w:trPr>
          <w:cantSplit/>
          <w:trHeight w:val="454"/>
          <w:jc w:val="center"/>
        </w:trPr>
        <w:tc>
          <w:tcPr>
            <w:tcW w:w="1013" w:type="dxa"/>
            <w:vMerge w:val="restart"/>
            <w:vAlign w:val="center"/>
          </w:tcPr>
          <w:p w:rsidR="000F2FBD" w:rsidRDefault="000F2FBD" w:rsidP="001F6B1A">
            <w:pPr>
              <w:tabs>
                <w:tab w:val="left" w:pos="488"/>
              </w:tabs>
              <w:adjustRightInd w:val="0"/>
              <w:snapToGrid w:val="0"/>
              <w:jc w:val="center"/>
              <w:rPr>
                <w:bCs/>
                <w:sz w:val="20"/>
                <w:szCs w:val="20"/>
              </w:rPr>
            </w:pPr>
            <w:r>
              <w:rPr>
                <w:rFonts w:hint="eastAsia"/>
                <w:bCs/>
                <w:sz w:val="20"/>
                <w:szCs w:val="20"/>
              </w:rPr>
              <w:t>产出指标</w:t>
            </w:r>
          </w:p>
        </w:tc>
        <w:tc>
          <w:tcPr>
            <w:tcW w:w="1022" w:type="dxa"/>
            <w:vMerge w:val="restart"/>
            <w:vAlign w:val="center"/>
          </w:tcPr>
          <w:p w:rsidR="000F2FBD" w:rsidRDefault="000F2FBD" w:rsidP="001F6B1A">
            <w:pPr>
              <w:widowControl/>
              <w:adjustRightInd w:val="0"/>
              <w:snapToGrid w:val="0"/>
              <w:jc w:val="center"/>
              <w:textAlignment w:val="center"/>
              <w:rPr>
                <w:sz w:val="20"/>
                <w:szCs w:val="20"/>
              </w:rPr>
            </w:pPr>
            <w:r>
              <w:rPr>
                <w:sz w:val="20"/>
                <w:szCs w:val="20"/>
              </w:rPr>
              <w:t>质量指标</w:t>
            </w:r>
          </w:p>
        </w:tc>
        <w:tc>
          <w:tcPr>
            <w:tcW w:w="7017" w:type="dxa"/>
            <w:vAlign w:val="center"/>
          </w:tcPr>
          <w:p w:rsidR="000F2FBD" w:rsidRDefault="000F2FBD" w:rsidP="001F6B1A">
            <w:pPr>
              <w:widowControl/>
              <w:adjustRightInd w:val="0"/>
              <w:snapToGrid w:val="0"/>
              <w:jc w:val="left"/>
              <w:textAlignment w:val="center"/>
              <w:rPr>
                <w:color w:val="000000"/>
                <w:kern w:val="0"/>
                <w:sz w:val="20"/>
                <w:szCs w:val="20"/>
              </w:rPr>
            </w:pPr>
            <w:r>
              <w:rPr>
                <w:color w:val="000000"/>
                <w:kern w:val="0"/>
                <w:sz w:val="20"/>
                <w:szCs w:val="20"/>
                <w:lang/>
              </w:rPr>
              <w:t>培养合格率</w:t>
            </w:r>
            <w:r>
              <w:rPr>
                <w:color w:val="000000"/>
                <w:kern w:val="0"/>
                <w:sz w:val="20"/>
                <w:szCs w:val="20"/>
                <w:lang/>
              </w:rPr>
              <w:t>≥98%</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rPr>
                <w:bCs/>
                <w:sz w:val="20"/>
                <w:szCs w:val="20"/>
              </w:rPr>
            </w:pPr>
          </w:p>
        </w:tc>
        <w:tc>
          <w:tcPr>
            <w:tcW w:w="1022" w:type="dxa"/>
            <w:vMerge/>
            <w:vAlign w:val="center"/>
          </w:tcPr>
          <w:p w:rsidR="000F2FBD" w:rsidRDefault="000F2FBD" w:rsidP="001F6B1A">
            <w:pPr>
              <w:adjustRightInd w:val="0"/>
              <w:snapToGrid w:val="0"/>
              <w:jc w:val="center"/>
              <w:textAlignment w:val="center"/>
              <w:rPr>
                <w:kern w:val="0"/>
                <w:sz w:val="20"/>
                <w:szCs w:val="20"/>
                <w:lang/>
              </w:rPr>
            </w:pPr>
          </w:p>
        </w:tc>
        <w:tc>
          <w:tcPr>
            <w:tcW w:w="7017" w:type="dxa"/>
            <w:vAlign w:val="center"/>
          </w:tcPr>
          <w:p w:rsidR="000F2FBD" w:rsidRDefault="000F2FBD" w:rsidP="001F6B1A">
            <w:pPr>
              <w:widowControl/>
              <w:tabs>
                <w:tab w:val="center" w:pos="3493"/>
              </w:tabs>
              <w:adjustRightInd w:val="0"/>
              <w:snapToGrid w:val="0"/>
              <w:jc w:val="left"/>
              <w:textAlignment w:val="center"/>
              <w:rPr>
                <w:color w:val="000000"/>
                <w:kern w:val="0"/>
                <w:sz w:val="20"/>
                <w:szCs w:val="20"/>
                <w:lang/>
              </w:rPr>
            </w:pPr>
            <w:r>
              <w:rPr>
                <w:color w:val="000000"/>
                <w:kern w:val="0"/>
                <w:sz w:val="20"/>
                <w:szCs w:val="20"/>
                <w:lang/>
              </w:rPr>
              <w:t>学员结业率</w:t>
            </w:r>
            <w:r>
              <w:rPr>
                <w:color w:val="000000"/>
                <w:kern w:val="0"/>
                <w:sz w:val="20"/>
                <w:szCs w:val="20"/>
                <w:lang/>
              </w:rPr>
              <w:t>≥95%</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rPr>
                <w:bCs/>
                <w:sz w:val="20"/>
                <w:szCs w:val="20"/>
              </w:rPr>
            </w:pPr>
          </w:p>
        </w:tc>
        <w:tc>
          <w:tcPr>
            <w:tcW w:w="1022" w:type="dxa"/>
            <w:vMerge/>
            <w:vAlign w:val="center"/>
          </w:tcPr>
          <w:p w:rsidR="000F2FBD" w:rsidRDefault="000F2FBD" w:rsidP="001F6B1A">
            <w:pPr>
              <w:adjustRightInd w:val="0"/>
              <w:snapToGrid w:val="0"/>
              <w:jc w:val="center"/>
              <w:textAlignment w:val="center"/>
              <w:rPr>
                <w:kern w:val="0"/>
                <w:sz w:val="20"/>
                <w:szCs w:val="20"/>
                <w:lang/>
              </w:rPr>
            </w:pPr>
          </w:p>
        </w:tc>
        <w:tc>
          <w:tcPr>
            <w:tcW w:w="7017" w:type="dxa"/>
            <w:vAlign w:val="center"/>
          </w:tcPr>
          <w:p w:rsidR="000F2FBD" w:rsidRDefault="000F2FBD" w:rsidP="001F6B1A">
            <w:pPr>
              <w:widowControl/>
              <w:tabs>
                <w:tab w:val="center" w:pos="3493"/>
              </w:tabs>
              <w:adjustRightInd w:val="0"/>
              <w:snapToGrid w:val="0"/>
              <w:jc w:val="left"/>
              <w:textAlignment w:val="center"/>
              <w:rPr>
                <w:color w:val="000000"/>
                <w:kern w:val="0"/>
                <w:sz w:val="20"/>
                <w:szCs w:val="20"/>
                <w:lang/>
              </w:rPr>
            </w:pPr>
            <w:r>
              <w:rPr>
                <w:color w:val="000000"/>
                <w:kern w:val="0"/>
                <w:sz w:val="20"/>
                <w:szCs w:val="20"/>
                <w:lang/>
              </w:rPr>
              <w:t>验收合格率为</w:t>
            </w:r>
            <w:r>
              <w:rPr>
                <w:color w:val="000000"/>
                <w:kern w:val="0"/>
                <w:sz w:val="20"/>
                <w:szCs w:val="20"/>
                <w:lang/>
              </w:rPr>
              <w:t>100%</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rPr>
                <w:bCs/>
                <w:sz w:val="20"/>
                <w:szCs w:val="20"/>
              </w:rPr>
            </w:pPr>
          </w:p>
        </w:tc>
        <w:tc>
          <w:tcPr>
            <w:tcW w:w="1022" w:type="dxa"/>
            <w:vMerge/>
            <w:vAlign w:val="center"/>
          </w:tcPr>
          <w:p w:rsidR="000F2FBD" w:rsidRDefault="000F2FBD" w:rsidP="001F6B1A">
            <w:pPr>
              <w:adjustRightInd w:val="0"/>
              <w:snapToGrid w:val="0"/>
              <w:jc w:val="center"/>
              <w:textAlignment w:val="center"/>
              <w:rPr>
                <w:kern w:val="0"/>
                <w:sz w:val="20"/>
                <w:szCs w:val="20"/>
                <w:lang/>
              </w:rPr>
            </w:pPr>
          </w:p>
        </w:tc>
        <w:tc>
          <w:tcPr>
            <w:tcW w:w="7017" w:type="dxa"/>
            <w:vAlign w:val="center"/>
          </w:tcPr>
          <w:p w:rsidR="000F2FBD" w:rsidRDefault="000F2FBD" w:rsidP="001F6B1A">
            <w:pPr>
              <w:widowControl/>
              <w:tabs>
                <w:tab w:val="center" w:pos="3493"/>
              </w:tabs>
              <w:adjustRightInd w:val="0"/>
              <w:snapToGrid w:val="0"/>
              <w:jc w:val="left"/>
              <w:textAlignment w:val="center"/>
              <w:rPr>
                <w:color w:val="000000"/>
                <w:kern w:val="0"/>
                <w:sz w:val="20"/>
                <w:szCs w:val="20"/>
                <w:lang/>
              </w:rPr>
            </w:pPr>
            <w:r>
              <w:rPr>
                <w:color w:val="000000"/>
                <w:kern w:val="0"/>
                <w:sz w:val="20"/>
                <w:szCs w:val="20"/>
                <w:lang/>
              </w:rPr>
              <w:t>合同履行率达到</w:t>
            </w:r>
            <w:r>
              <w:rPr>
                <w:color w:val="000000"/>
                <w:kern w:val="0"/>
                <w:sz w:val="20"/>
                <w:szCs w:val="20"/>
                <w:lang/>
              </w:rPr>
              <w:t>100%</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rPr>
                <w:bCs/>
                <w:sz w:val="20"/>
                <w:szCs w:val="20"/>
              </w:rPr>
            </w:pPr>
          </w:p>
        </w:tc>
        <w:tc>
          <w:tcPr>
            <w:tcW w:w="1022" w:type="dxa"/>
            <w:vMerge/>
            <w:vAlign w:val="center"/>
          </w:tcPr>
          <w:p w:rsidR="000F2FBD" w:rsidRDefault="000F2FBD" w:rsidP="001F6B1A">
            <w:pPr>
              <w:adjustRightInd w:val="0"/>
              <w:snapToGrid w:val="0"/>
              <w:jc w:val="center"/>
              <w:textAlignment w:val="center"/>
              <w:rPr>
                <w:kern w:val="0"/>
                <w:sz w:val="20"/>
                <w:szCs w:val="20"/>
                <w:lang/>
              </w:rPr>
            </w:pPr>
          </w:p>
        </w:tc>
        <w:tc>
          <w:tcPr>
            <w:tcW w:w="7017" w:type="dxa"/>
            <w:vAlign w:val="center"/>
          </w:tcPr>
          <w:p w:rsidR="000F2FBD" w:rsidRDefault="000F2FBD" w:rsidP="001F6B1A">
            <w:pPr>
              <w:widowControl/>
              <w:tabs>
                <w:tab w:val="center" w:pos="3493"/>
              </w:tabs>
              <w:adjustRightInd w:val="0"/>
              <w:snapToGrid w:val="0"/>
              <w:jc w:val="left"/>
              <w:textAlignment w:val="center"/>
              <w:rPr>
                <w:color w:val="000000"/>
                <w:kern w:val="0"/>
                <w:sz w:val="20"/>
                <w:szCs w:val="20"/>
                <w:lang/>
              </w:rPr>
            </w:pPr>
            <w:r>
              <w:rPr>
                <w:color w:val="000000"/>
                <w:kern w:val="0"/>
                <w:sz w:val="20"/>
                <w:szCs w:val="20"/>
                <w:lang/>
              </w:rPr>
              <w:t>稿件领导批示或转载率</w:t>
            </w:r>
            <w:r>
              <w:rPr>
                <w:color w:val="000000"/>
                <w:kern w:val="0"/>
                <w:sz w:val="20"/>
                <w:szCs w:val="20"/>
                <w:lang/>
              </w:rPr>
              <w:t>≥30%</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rPr>
                <w:bCs/>
                <w:sz w:val="20"/>
                <w:szCs w:val="20"/>
              </w:rPr>
            </w:pPr>
          </w:p>
        </w:tc>
        <w:tc>
          <w:tcPr>
            <w:tcW w:w="1022" w:type="dxa"/>
            <w:vMerge/>
            <w:vAlign w:val="center"/>
          </w:tcPr>
          <w:p w:rsidR="000F2FBD" w:rsidRDefault="000F2FBD" w:rsidP="001F6B1A">
            <w:pPr>
              <w:adjustRightInd w:val="0"/>
              <w:snapToGrid w:val="0"/>
              <w:jc w:val="center"/>
              <w:textAlignment w:val="center"/>
              <w:rPr>
                <w:kern w:val="0"/>
                <w:sz w:val="20"/>
                <w:szCs w:val="20"/>
                <w:lang/>
              </w:rPr>
            </w:pPr>
          </w:p>
        </w:tc>
        <w:tc>
          <w:tcPr>
            <w:tcW w:w="7017" w:type="dxa"/>
            <w:vAlign w:val="center"/>
          </w:tcPr>
          <w:p w:rsidR="000F2FBD" w:rsidRDefault="000F2FBD" w:rsidP="001F6B1A">
            <w:pPr>
              <w:widowControl/>
              <w:tabs>
                <w:tab w:val="center" w:pos="3493"/>
              </w:tabs>
              <w:adjustRightInd w:val="0"/>
              <w:snapToGrid w:val="0"/>
              <w:jc w:val="left"/>
              <w:textAlignment w:val="center"/>
              <w:rPr>
                <w:color w:val="000000"/>
                <w:kern w:val="0"/>
                <w:sz w:val="20"/>
                <w:szCs w:val="20"/>
                <w:lang/>
              </w:rPr>
            </w:pPr>
            <w:r>
              <w:rPr>
                <w:color w:val="000000"/>
                <w:kern w:val="0"/>
                <w:sz w:val="20"/>
                <w:szCs w:val="20"/>
                <w:lang/>
              </w:rPr>
              <w:t>故障排除及响应率</w:t>
            </w:r>
            <w:r>
              <w:rPr>
                <w:color w:val="000000"/>
                <w:kern w:val="0"/>
                <w:sz w:val="20"/>
                <w:szCs w:val="20"/>
                <w:lang/>
              </w:rPr>
              <w:t>≥90%</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rPr>
                <w:bCs/>
                <w:sz w:val="20"/>
                <w:szCs w:val="20"/>
              </w:rPr>
            </w:pPr>
          </w:p>
        </w:tc>
        <w:tc>
          <w:tcPr>
            <w:tcW w:w="1022" w:type="dxa"/>
            <w:vMerge/>
            <w:vAlign w:val="center"/>
          </w:tcPr>
          <w:p w:rsidR="000F2FBD" w:rsidRDefault="000F2FBD" w:rsidP="001F6B1A">
            <w:pPr>
              <w:adjustRightInd w:val="0"/>
              <w:snapToGrid w:val="0"/>
              <w:jc w:val="center"/>
              <w:textAlignment w:val="center"/>
              <w:rPr>
                <w:kern w:val="0"/>
                <w:sz w:val="20"/>
                <w:szCs w:val="20"/>
                <w:lang/>
              </w:rPr>
            </w:pPr>
          </w:p>
        </w:tc>
        <w:tc>
          <w:tcPr>
            <w:tcW w:w="7017" w:type="dxa"/>
            <w:vAlign w:val="center"/>
          </w:tcPr>
          <w:p w:rsidR="000F2FBD" w:rsidRDefault="000F2FBD" w:rsidP="001F6B1A">
            <w:pPr>
              <w:widowControl/>
              <w:tabs>
                <w:tab w:val="center" w:pos="3493"/>
              </w:tabs>
              <w:adjustRightInd w:val="0"/>
              <w:snapToGrid w:val="0"/>
              <w:jc w:val="left"/>
              <w:textAlignment w:val="center"/>
              <w:rPr>
                <w:color w:val="000000"/>
                <w:kern w:val="0"/>
                <w:sz w:val="20"/>
                <w:szCs w:val="20"/>
                <w:lang/>
              </w:rPr>
            </w:pPr>
            <w:r>
              <w:rPr>
                <w:color w:val="000000"/>
                <w:kern w:val="0"/>
                <w:sz w:val="20"/>
                <w:szCs w:val="20"/>
                <w:lang/>
              </w:rPr>
              <w:t>教学管理建设任务完成率</w:t>
            </w:r>
            <w:r>
              <w:rPr>
                <w:color w:val="000000"/>
                <w:kern w:val="0"/>
                <w:sz w:val="20"/>
                <w:szCs w:val="20"/>
                <w:lang/>
              </w:rPr>
              <w:t>≥90%</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rPr>
                <w:b/>
                <w:sz w:val="20"/>
                <w:szCs w:val="20"/>
              </w:rPr>
            </w:pPr>
          </w:p>
        </w:tc>
        <w:tc>
          <w:tcPr>
            <w:tcW w:w="1022" w:type="dxa"/>
            <w:vMerge/>
            <w:vAlign w:val="center"/>
          </w:tcPr>
          <w:p w:rsidR="000F2FBD" w:rsidRDefault="000F2FBD" w:rsidP="001F6B1A">
            <w:pPr>
              <w:adjustRightInd w:val="0"/>
              <w:snapToGrid w:val="0"/>
              <w:jc w:val="center"/>
              <w:textAlignment w:val="center"/>
              <w:rPr>
                <w:kern w:val="0"/>
                <w:sz w:val="20"/>
                <w:szCs w:val="20"/>
                <w:lang/>
              </w:rPr>
            </w:pPr>
          </w:p>
        </w:tc>
        <w:tc>
          <w:tcPr>
            <w:tcW w:w="7017" w:type="dxa"/>
            <w:vAlign w:val="center"/>
          </w:tcPr>
          <w:p w:rsidR="000F2FBD" w:rsidRDefault="000F2FBD" w:rsidP="001F6B1A">
            <w:pPr>
              <w:widowControl/>
              <w:tabs>
                <w:tab w:val="center" w:pos="3493"/>
              </w:tabs>
              <w:adjustRightInd w:val="0"/>
              <w:snapToGrid w:val="0"/>
              <w:jc w:val="left"/>
              <w:textAlignment w:val="center"/>
              <w:rPr>
                <w:color w:val="000000"/>
                <w:kern w:val="0"/>
                <w:sz w:val="20"/>
                <w:szCs w:val="20"/>
                <w:lang/>
              </w:rPr>
            </w:pPr>
            <w:r>
              <w:rPr>
                <w:color w:val="000000"/>
                <w:kern w:val="0"/>
                <w:sz w:val="20"/>
                <w:szCs w:val="20"/>
                <w:lang/>
              </w:rPr>
              <w:t>访问成果转化</w:t>
            </w:r>
            <w:r>
              <w:rPr>
                <w:color w:val="000000"/>
                <w:kern w:val="0"/>
                <w:sz w:val="20"/>
                <w:szCs w:val="20"/>
                <w:lang/>
              </w:rPr>
              <w:t>2</w:t>
            </w:r>
            <w:r>
              <w:rPr>
                <w:color w:val="000000"/>
                <w:kern w:val="0"/>
                <w:sz w:val="20"/>
                <w:szCs w:val="20"/>
                <w:lang/>
              </w:rPr>
              <w:t>份</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rPr>
                <w:bCs/>
                <w:sz w:val="20"/>
                <w:szCs w:val="20"/>
              </w:rPr>
            </w:pPr>
          </w:p>
        </w:tc>
        <w:tc>
          <w:tcPr>
            <w:tcW w:w="1022" w:type="dxa"/>
            <w:vMerge/>
            <w:vAlign w:val="center"/>
          </w:tcPr>
          <w:p w:rsidR="000F2FBD" w:rsidRDefault="000F2FBD" w:rsidP="001F6B1A">
            <w:pPr>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设备质量符合有关要求</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rPr>
                <w:bCs/>
                <w:sz w:val="20"/>
                <w:szCs w:val="20"/>
              </w:rPr>
            </w:pPr>
          </w:p>
        </w:tc>
        <w:tc>
          <w:tcPr>
            <w:tcW w:w="1022" w:type="dxa"/>
            <w:vMerge/>
            <w:vAlign w:val="center"/>
          </w:tcPr>
          <w:p w:rsidR="000F2FBD" w:rsidRDefault="000F2FBD" w:rsidP="001F6B1A">
            <w:pPr>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设备工程验收标准符合相关标准</w:t>
            </w:r>
          </w:p>
        </w:tc>
      </w:tr>
      <w:tr w:rsidR="000F2FBD" w:rsidTr="001F6B1A">
        <w:trPr>
          <w:cantSplit/>
          <w:trHeight w:val="454"/>
          <w:jc w:val="center"/>
        </w:trPr>
        <w:tc>
          <w:tcPr>
            <w:tcW w:w="1013" w:type="dxa"/>
            <w:vMerge w:val="restart"/>
            <w:vAlign w:val="center"/>
          </w:tcPr>
          <w:p w:rsidR="000F2FBD" w:rsidRDefault="000F2FBD" w:rsidP="001F6B1A">
            <w:pPr>
              <w:adjustRightInd w:val="0"/>
              <w:snapToGrid w:val="0"/>
              <w:jc w:val="center"/>
              <w:textAlignment w:val="center"/>
              <w:rPr>
                <w:bCs/>
                <w:kern w:val="0"/>
                <w:sz w:val="20"/>
                <w:szCs w:val="20"/>
                <w:lang/>
              </w:rPr>
            </w:pPr>
            <w:r>
              <w:rPr>
                <w:bCs/>
                <w:kern w:val="0"/>
                <w:sz w:val="20"/>
                <w:szCs w:val="20"/>
                <w:lang/>
              </w:rPr>
              <w:t>效果指标</w:t>
            </w:r>
          </w:p>
        </w:tc>
        <w:tc>
          <w:tcPr>
            <w:tcW w:w="1022" w:type="dxa"/>
            <w:vMerge w:val="restart"/>
            <w:vAlign w:val="center"/>
          </w:tcPr>
          <w:p w:rsidR="000F2FBD" w:rsidRDefault="000F2FBD" w:rsidP="001F6B1A">
            <w:pPr>
              <w:widowControl/>
              <w:adjustRightInd w:val="0"/>
              <w:snapToGrid w:val="0"/>
              <w:jc w:val="center"/>
              <w:textAlignment w:val="center"/>
              <w:rPr>
                <w:bCs/>
                <w:kern w:val="0"/>
                <w:sz w:val="20"/>
                <w:szCs w:val="20"/>
                <w:lang/>
              </w:rPr>
            </w:pPr>
            <w:r>
              <w:rPr>
                <w:bCs/>
                <w:kern w:val="0"/>
                <w:sz w:val="20"/>
                <w:szCs w:val="20"/>
                <w:lang/>
              </w:rPr>
              <w:t>效益指标</w:t>
            </w:r>
          </w:p>
        </w:tc>
        <w:tc>
          <w:tcPr>
            <w:tcW w:w="7017" w:type="dxa"/>
            <w:vAlign w:val="center"/>
          </w:tcPr>
          <w:p w:rsidR="000F2FBD" w:rsidRDefault="000F2FBD" w:rsidP="001F6B1A">
            <w:pPr>
              <w:widowControl/>
              <w:adjustRightInd w:val="0"/>
              <w:snapToGrid w:val="0"/>
              <w:jc w:val="left"/>
              <w:textAlignment w:val="center"/>
              <w:rPr>
                <w:color w:val="000000"/>
                <w:sz w:val="20"/>
                <w:szCs w:val="20"/>
              </w:rPr>
            </w:pPr>
            <w:r>
              <w:rPr>
                <w:color w:val="000000"/>
                <w:kern w:val="0"/>
                <w:sz w:val="20"/>
                <w:szCs w:val="20"/>
                <w:lang/>
              </w:rPr>
              <w:t>各类二次文献及</w:t>
            </w:r>
            <w:proofErr w:type="gramStart"/>
            <w:r>
              <w:rPr>
                <w:color w:val="000000"/>
                <w:kern w:val="0"/>
                <w:sz w:val="20"/>
                <w:szCs w:val="20"/>
                <w:lang/>
              </w:rPr>
              <w:t>网站摘转篇数</w:t>
            </w:r>
            <w:proofErr w:type="gramEnd"/>
            <w:r>
              <w:rPr>
                <w:color w:val="000000"/>
                <w:kern w:val="0"/>
                <w:sz w:val="20"/>
                <w:szCs w:val="20"/>
                <w:lang/>
              </w:rPr>
              <w:t>≥20</w:t>
            </w:r>
            <w:r>
              <w:rPr>
                <w:color w:val="000000"/>
                <w:kern w:val="0"/>
                <w:sz w:val="20"/>
                <w:szCs w:val="20"/>
                <w:lang/>
              </w:rPr>
              <w:t>篇</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吸引教研人员参加人数</w:t>
            </w:r>
            <w:r>
              <w:rPr>
                <w:color w:val="000000"/>
                <w:kern w:val="0"/>
                <w:sz w:val="20"/>
                <w:szCs w:val="20"/>
                <w:lang/>
              </w:rPr>
              <w:t>≥1000</w:t>
            </w:r>
            <w:r>
              <w:rPr>
                <w:color w:val="000000"/>
                <w:kern w:val="0"/>
                <w:sz w:val="20"/>
                <w:szCs w:val="20"/>
                <w:lang/>
              </w:rPr>
              <w:t>人次</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保障党校日常工作顺利开展</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助</w:t>
            </w:r>
            <w:proofErr w:type="gramStart"/>
            <w:r>
              <w:rPr>
                <w:color w:val="000000"/>
                <w:kern w:val="0"/>
                <w:sz w:val="20"/>
                <w:szCs w:val="20"/>
                <w:lang/>
              </w:rPr>
              <w:t>推基层</w:t>
            </w:r>
            <w:proofErr w:type="gramEnd"/>
            <w:r>
              <w:rPr>
                <w:color w:val="000000"/>
                <w:kern w:val="0"/>
                <w:sz w:val="20"/>
                <w:szCs w:val="20"/>
                <w:lang/>
              </w:rPr>
              <w:t>党校教学科研资政等工作创新发展</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提升教职员工开展决策咨询研究的能力和水平</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促进党校内部和对外学术交流，及教研人员了解学科发展前沿动向</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保障学员培训和会议顺利进行</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保障全校职工和培训学员用餐</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保障党校教学、科研、决策咨询等工作的安全</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影响力指数排名，全国中国政治类期刊</w:t>
            </w:r>
            <w:r>
              <w:rPr>
                <w:color w:val="000000"/>
                <w:kern w:val="0"/>
                <w:sz w:val="20"/>
                <w:szCs w:val="20"/>
                <w:lang/>
              </w:rPr>
              <w:t>50</w:t>
            </w:r>
            <w:r>
              <w:rPr>
                <w:color w:val="000000"/>
                <w:kern w:val="0"/>
                <w:sz w:val="20"/>
                <w:szCs w:val="20"/>
                <w:lang/>
              </w:rPr>
              <w:t>名之内</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国际影响力有效提高</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保障党校日常工作顺利开展，提高工作效率</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提升理论素养和党性修养</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为教职工、学员访问互联网服务，保障单位网络环境安全</w:t>
            </w:r>
          </w:p>
        </w:tc>
      </w:tr>
      <w:tr w:rsidR="000F2FBD" w:rsidTr="001F6B1A">
        <w:trPr>
          <w:cantSplit/>
          <w:trHeight w:val="454"/>
          <w:jc w:val="center"/>
        </w:trPr>
        <w:tc>
          <w:tcPr>
            <w:tcW w:w="1013" w:type="dxa"/>
            <w:vMerge w:val="restart"/>
            <w:vAlign w:val="center"/>
          </w:tcPr>
          <w:p w:rsidR="000F2FBD" w:rsidRDefault="000F2FBD" w:rsidP="001F6B1A">
            <w:pPr>
              <w:adjustRightInd w:val="0"/>
              <w:snapToGrid w:val="0"/>
              <w:jc w:val="center"/>
              <w:textAlignment w:val="center"/>
              <w:rPr>
                <w:bCs/>
                <w:kern w:val="0"/>
                <w:sz w:val="20"/>
                <w:szCs w:val="20"/>
                <w:lang/>
              </w:rPr>
            </w:pPr>
            <w:r>
              <w:rPr>
                <w:rFonts w:hint="eastAsia"/>
                <w:bCs/>
                <w:kern w:val="0"/>
                <w:sz w:val="20"/>
                <w:szCs w:val="20"/>
                <w:lang/>
              </w:rPr>
              <w:t>效果指标</w:t>
            </w:r>
          </w:p>
        </w:tc>
        <w:tc>
          <w:tcPr>
            <w:tcW w:w="1022" w:type="dxa"/>
            <w:vMerge w:val="restart"/>
            <w:vAlign w:val="center"/>
          </w:tcPr>
          <w:p w:rsidR="000F2FBD" w:rsidRDefault="000F2FBD" w:rsidP="001F6B1A">
            <w:pPr>
              <w:widowControl/>
              <w:adjustRightInd w:val="0"/>
              <w:snapToGrid w:val="0"/>
              <w:jc w:val="center"/>
              <w:textAlignment w:val="center"/>
              <w:rPr>
                <w:bCs/>
                <w:kern w:val="0"/>
                <w:sz w:val="20"/>
                <w:szCs w:val="20"/>
                <w:lang/>
              </w:rPr>
            </w:pPr>
            <w:r>
              <w:rPr>
                <w:rFonts w:hint="eastAsia"/>
                <w:bCs/>
                <w:kern w:val="0"/>
                <w:sz w:val="20"/>
                <w:szCs w:val="20"/>
                <w:lang/>
              </w:rPr>
              <w:t>效益指标</w:t>
            </w: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为互联网访问服务提供带宽支撑，保障教职工、学员工作顺利开展</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帮助学员把握时代大势，树立世界眼光和系统思维</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提升全市党校系统的办学质量和水平</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提高基层党校教学科研改革等方面的影响力</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提升党校在全市</w:t>
            </w:r>
            <w:proofErr w:type="gramStart"/>
            <w:r>
              <w:rPr>
                <w:color w:val="000000"/>
                <w:kern w:val="0"/>
                <w:sz w:val="20"/>
                <w:szCs w:val="20"/>
                <w:lang/>
              </w:rPr>
              <w:t>高端智库当中</w:t>
            </w:r>
            <w:proofErr w:type="gramEnd"/>
            <w:r>
              <w:rPr>
                <w:color w:val="000000"/>
                <w:kern w:val="0"/>
                <w:sz w:val="20"/>
                <w:szCs w:val="20"/>
                <w:lang/>
              </w:rPr>
              <w:t>的影响力</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有助于推进我校学科建设发展，提升教研人员的科研实力</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促进我校教研人员学术著作尽早面世</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扩大提高期刊的学术影响力</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增强领导干部党性修养、工作能力和本校优势专业学科影响力</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开阔教师国际视野，提升教学管理和科研学术水平</w:t>
            </w:r>
          </w:p>
        </w:tc>
      </w:tr>
      <w:tr w:rsidR="000F2FBD" w:rsidTr="001F6B1A">
        <w:trPr>
          <w:cantSplit/>
          <w:trHeight w:val="454"/>
          <w:jc w:val="center"/>
        </w:trPr>
        <w:tc>
          <w:tcPr>
            <w:tcW w:w="1013" w:type="dxa"/>
            <w:vMerge/>
            <w:vAlign w:val="center"/>
          </w:tcPr>
          <w:p w:rsidR="000F2FBD" w:rsidRDefault="000F2FBD" w:rsidP="001F6B1A">
            <w:pPr>
              <w:adjustRightInd w:val="0"/>
              <w:snapToGrid w:val="0"/>
              <w:jc w:val="center"/>
              <w:textAlignment w:val="center"/>
              <w:rPr>
                <w:bCs/>
                <w:kern w:val="0"/>
                <w:sz w:val="20"/>
                <w:szCs w:val="20"/>
                <w:lang/>
              </w:rPr>
            </w:pPr>
          </w:p>
        </w:tc>
        <w:tc>
          <w:tcPr>
            <w:tcW w:w="1022" w:type="dxa"/>
            <w:vMerge/>
            <w:vAlign w:val="center"/>
          </w:tcPr>
          <w:p w:rsidR="000F2FBD" w:rsidRDefault="000F2FBD" w:rsidP="001F6B1A">
            <w:pPr>
              <w:widowControl/>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履职尽责和推动首都科学发展的能力</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sz w:val="20"/>
                <w:szCs w:val="20"/>
              </w:rPr>
            </w:pPr>
          </w:p>
        </w:tc>
        <w:tc>
          <w:tcPr>
            <w:tcW w:w="1022" w:type="dxa"/>
            <w:vMerge w:val="restart"/>
            <w:vAlign w:val="center"/>
          </w:tcPr>
          <w:p w:rsidR="000F2FBD" w:rsidRDefault="000F2FBD" w:rsidP="001F6B1A">
            <w:pPr>
              <w:adjustRightInd w:val="0"/>
              <w:snapToGrid w:val="0"/>
              <w:jc w:val="center"/>
              <w:textAlignment w:val="center"/>
              <w:rPr>
                <w:bCs/>
                <w:sz w:val="20"/>
                <w:szCs w:val="20"/>
              </w:rPr>
            </w:pPr>
            <w:r>
              <w:rPr>
                <w:bCs/>
                <w:kern w:val="0"/>
                <w:sz w:val="20"/>
                <w:szCs w:val="20"/>
                <w:lang/>
              </w:rPr>
              <w:t>服务对象满意度指标</w:t>
            </w: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读者投诉次数</w:t>
            </w:r>
            <w:r>
              <w:rPr>
                <w:color w:val="000000"/>
                <w:kern w:val="0"/>
                <w:sz w:val="20"/>
                <w:szCs w:val="20"/>
                <w:lang/>
              </w:rPr>
              <w:t>≤5</w:t>
            </w:r>
            <w:r>
              <w:rPr>
                <w:color w:val="000000"/>
                <w:kern w:val="0"/>
                <w:sz w:val="20"/>
                <w:szCs w:val="20"/>
                <w:lang/>
              </w:rPr>
              <w:t>次</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sz w:val="20"/>
                <w:szCs w:val="20"/>
              </w:rPr>
            </w:pPr>
          </w:p>
        </w:tc>
        <w:tc>
          <w:tcPr>
            <w:tcW w:w="1022" w:type="dxa"/>
            <w:vMerge/>
            <w:vAlign w:val="center"/>
          </w:tcPr>
          <w:p w:rsidR="000F2FBD" w:rsidRDefault="000F2FBD" w:rsidP="001F6B1A">
            <w:pPr>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报告使用者等受益群体满意度</w:t>
            </w:r>
            <w:r>
              <w:rPr>
                <w:color w:val="000000"/>
                <w:kern w:val="0"/>
                <w:sz w:val="20"/>
                <w:szCs w:val="20"/>
                <w:lang/>
              </w:rPr>
              <w:t>≥85%</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sz w:val="20"/>
                <w:szCs w:val="20"/>
              </w:rPr>
            </w:pPr>
          </w:p>
        </w:tc>
        <w:tc>
          <w:tcPr>
            <w:tcW w:w="1022" w:type="dxa"/>
            <w:vMerge/>
            <w:vAlign w:val="center"/>
          </w:tcPr>
          <w:p w:rsidR="000F2FBD" w:rsidRDefault="000F2FBD" w:rsidP="001F6B1A">
            <w:pPr>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教职工和学员满意度</w:t>
            </w:r>
            <w:r>
              <w:rPr>
                <w:color w:val="000000"/>
                <w:kern w:val="0"/>
                <w:sz w:val="20"/>
                <w:szCs w:val="20"/>
                <w:lang/>
              </w:rPr>
              <w:t>≥95%</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sz w:val="20"/>
                <w:szCs w:val="20"/>
              </w:rPr>
            </w:pPr>
          </w:p>
        </w:tc>
        <w:tc>
          <w:tcPr>
            <w:tcW w:w="1022" w:type="dxa"/>
            <w:vMerge/>
            <w:vAlign w:val="center"/>
          </w:tcPr>
          <w:p w:rsidR="000F2FBD" w:rsidRDefault="000F2FBD" w:rsidP="001F6B1A">
            <w:pPr>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服务部门人员满意度</w:t>
            </w:r>
            <w:r>
              <w:rPr>
                <w:color w:val="000000"/>
                <w:kern w:val="0"/>
                <w:sz w:val="20"/>
                <w:szCs w:val="20"/>
                <w:lang/>
              </w:rPr>
              <w:t>≥95%</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sz w:val="20"/>
                <w:szCs w:val="20"/>
              </w:rPr>
            </w:pPr>
          </w:p>
        </w:tc>
        <w:tc>
          <w:tcPr>
            <w:tcW w:w="1022" w:type="dxa"/>
            <w:vMerge/>
            <w:vAlign w:val="center"/>
          </w:tcPr>
          <w:p w:rsidR="000F2FBD" w:rsidRDefault="000F2FBD" w:rsidP="001F6B1A">
            <w:pPr>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使用人员满意度</w:t>
            </w:r>
            <w:r>
              <w:rPr>
                <w:color w:val="000000"/>
                <w:kern w:val="0"/>
                <w:sz w:val="20"/>
                <w:szCs w:val="20"/>
                <w:lang/>
              </w:rPr>
              <w:t>≥90%</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sz w:val="20"/>
                <w:szCs w:val="20"/>
              </w:rPr>
            </w:pPr>
          </w:p>
        </w:tc>
        <w:tc>
          <w:tcPr>
            <w:tcW w:w="1022" w:type="dxa"/>
            <w:vMerge/>
            <w:vAlign w:val="center"/>
          </w:tcPr>
          <w:p w:rsidR="000F2FBD" w:rsidRDefault="000F2FBD" w:rsidP="001F6B1A">
            <w:pPr>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受益教师及学员满意度</w:t>
            </w:r>
            <w:r>
              <w:rPr>
                <w:color w:val="000000"/>
                <w:kern w:val="0"/>
                <w:sz w:val="20"/>
                <w:szCs w:val="20"/>
                <w:lang/>
              </w:rPr>
              <w:t>≥90%</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sz w:val="20"/>
                <w:szCs w:val="20"/>
              </w:rPr>
            </w:pPr>
          </w:p>
        </w:tc>
        <w:tc>
          <w:tcPr>
            <w:tcW w:w="1022" w:type="dxa"/>
            <w:vMerge/>
            <w:vAlign w:val="center"/>
          </w:tcPr>
          <w:p w:rsidR="000F2FBD" w:rsidRDefault="000F2FBD" w:rsidP="001F6B1A">
            <w:pPr>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教研人员满意度</w:t>
            </w:r>
            <w:r>
              <w:rPr>
                <w:color w:val="000000"/>
                <w:kern w:val="0"/>
                <w:sz w:val="20"/>
                <w:szCs w:val="20"/>
                <w:lang/>
              </w:rPr>
              <w:t>≥90%</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sz w:val="20"/>
                <w:szCs w:val="20"/>
              </w:rPr>
            </w:pPr>
          </w:p>
        </w:tc>
        <w:tc>
          <w:tcPr>
            <w:tcW w:w="1022" w:type="dxa"/>
            <w:vMerge/>
            <w:vAlign w:val="center"/>
          </w:tcPr>
          <w:p w:rsidR="000F2FBD" w:rsidRDefault="000F2FBD" w:rsidP="001F6B1A">
            <w:pPr>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读者满意度</w:t>
            </w:r>
            <w:r>
              <w:rPr>
                <w:color w:val="000000"/>
                <w:kern w:val="0"/>
                <w:sz w:val="20"/>
                <w:szCs w:val="20"/>
                <w:lang/>
              </w:rPr>
              <w:t>≥90%</w:t>
            </w:r>
          </w:p>
        </w:tc>
      </w:tr>
      <w:tr w:rsidR="000F2FBD" w:rsidTr="001F6B1A">
        <w:trPr>
          <w:cantSplit/>
          <w:trHeight w:val="454"/>
          <w:jc w:val="center"/>
        </w:trPr>
        <w:tc>
          <w:tcPr>
            <w:tcW w:w="1013" w:type="dxa"/>
            <w:vMerge/>
            <w:vAlign w:val="center"/>
          </w:tcPr>
          <w:p w:rsidR="000F2FBD" w:rsidRDefault="000F2FBD" w:rsidP="001F6B1A">
            <w:pPr>
              <w:widowControl/>
              <w:adjustRightInd w:val="0"/>
              <w:snapToGrid w:val="0"/>
              <w:jc w:val="center"/>
              <w:textAlignment w:val="center"/>
              <w:rPr>
                <w:bCs/>
                <w:sz w:val="20"/>
                <w:szCs w:val="20"/>
              </w:rPr>
            </w:pPr>
          </w:p>
        </w:tc>
        <w:tc>
          <w:tcPr>
            <w:tcW w:w="1022" w:type="dxa"/>
            <w:vMerge/>
            <w:vAlign w:val="center"/>
          </w:tcPr>
          <w:p w:rsidR="000F2FBD" w:rsidRDefault="000F2FBD" w:rsidP="001F6B1A">
            <w:pPr>
              <w:adjustRightInd w:val="0"/>
              <w:snapToGrid w:val="0"/>
              <w:jc w:val="center"/>
              <w:textAlignment w:val="center"/>
              <w:rPr>
                <w:bCs/>
                <w:kern w:val="0"/>
                <w:sz w:val="20"/>
                <w:szCs w:val="20"/>
                <w:lang/>
              </w:rPr>
            </w:pPr>
          </w:p>
        </w:tc>
        <w:tc>
          <w:tcPr>
            <w:tcW w:w="7017" w:type="dxa"/>
            <w:vAlign w:val="center"/>
          </w:tcPr>
          <w:p w:rsidR="000F2FBD" w:rsidRDefault="000F2FBD" w:rsidP="001F6B1A">
            <w:pPr>
              <w:widowControl/>
              <w:adjustRightInd w:val="0"/>
              <w:snapToGrid w:val="0"/>
              <w:jc w:val="left"/>
              <w:textAlignment w:val="center"/>
              <w:rPr>
                <w:color w:val="000000"/>
                <w:kern w:val="0"/>
                <w:sz w:val="20"/>
                <w:szCs w:val="20"/>
                <w:lang/>
              </w:rPr>
            </w:pPr>
            <w:r>
              <w:rPr>
                <w:color w:val="000000"/>
                <w:kern w:val="0"/>
                <w:sz w:val="20"/>
                <w:szCs w:val="20"/>
                <w:lang/>
              </w:rPr>
              <w:t>受训学员满意度</w:t>
            </w:r>
            <w:r>
              <w:rPr>
                <w:color w:val="000000"/>
                <w:kern w:val="0"/>
                <w:sz w:val="20"/>
                <w:szCs w:val="20"/>
                <w:lang/>
              </w:rPr>
              <w:t>≥90%</w:t>
            </w:r>
          </w:p>
        </w:tc>
      </w:tr>
    </w:tbl>
    <w:p w:rsidR="000F2FBD" w:rsidRDefault="000F2FBD" w:rsidP="000F2FBD">
      <w:pPr>
        <w:adjustRightInd w:val="0"/>
        <w:snapToGrid w:val="0"/>
        <w:spacing w:line="360" w:lineRule="auto"/>
        <w:ind w:firstLineChars="200" w:firstLine="640"/>
        <w:rPr>
          <w:rFonts w:eastAsia="黑体"/>
          <w:color w:val="000000"/>
          <w:kern w:val="0"/>
          <w:sz w:val="32"/>
          <w:szCs w:val="32"/>
        </w:rPr>
      </w:pPr>
      <w:bookmarkStart w:id="6" w:name="_Toc14990"/>
    </w:p>
    <w:p w:rsidR="000F2FBD" w:rsidRDefault="000F2FBD" w:rsidP="000F2FBD">
      <w:pPr>
        <w:spacing w:line="600" w:lineRule="exact"/>
        <w:ind w:firstLineChars="200" w:firstLine="640"/>
        <w:rPr>
          <w:rFonts w:ascii="黑体" w:eastAsia="黑体" w:hAnsi="黑体" w:cs="宋体"/>
          <w:color w:val="000000"/>
          <w:kern w:val="0"/>
          <w:sz w:val="32"/>
          <w:szCs w:val="32"/>
        </w:rPr>
      </w:pPr>
      <w:bookmarkStart w:id="7" w:name="_Toc10515"/>
      <w:r>
        <w:rPr>
          <w:rFonts w:ascii="黑体" w:eastAsia="黑体" w:hAnsi="黑体" w:cs="宋体"/>
          <w:color w:val="000000"/>
          <w:kern w:val="0"/>
          <w:sz w:val="32"/>
          <w:szCs w:val="32"/>
        </w:rPr>
        <w:t>二、当年预算执行情况</w:t>
      </w:r>
      <w:bookmarkEnd w:id="6"/>
      <w:bookmarkEnd w:id="7"/>
    </w:p>
    <w:p w:rsidR="000F2FBD" w:rsidRDefault="000F2FBD" w:rsidP="000F2FBD">
      <w:pPr>
        <w:adjustRightInd w:val="0"/>
        <w:snapToGrid w:val="0"/>
        <w:spacing w:line="360" w:lineRule="auto"/>
        <w:ind w:firstLineChars="200" w:firstLine="560"/>
        <w:rPr>
          <w:rFonts w:ascii="仿宋_GB2312" w:eastAsia="仿宋_GB2312"/>
          <w:sz w:val="28"/>
          <w:szCs w:val="28"/>
        </w:rPr>
      </w:pPr>
      <w:r>
        <w:rPr>
          <w:rFonts w:ascii="仿宋_GB2312" w:eastAsia="仿宋_GB2312"/>
          <w:sz w:val="28"/>
          <w:szCs w:val="28"/>
        </w:rPr>
        <w:t>2022年全年预算32280.57万元，其中，基本支出预算18871.73万元，项目支出预算13408.84万元。资金总体支出27343.47万元，预算执行率为84.71%，其中：基本支出</w:t>
      </w:r>
      <w:r>
        <w:rPr>
          <w:rFonts w:ascii="仿宋_GB2312" w:eastAsia="仿宋_GB2312" w:hint="eastAsia"/>
          <w:sz w:val="28"/>
          <w:szCs w:val="28"/>
        </w:rPr>
        <w:t>18094.05</w:t>
      </w:r>
      <w:r>
        <w:rPr>
          <w:rFonts w:ascii="仿宋_GB2312" w:eastAsia="仿宋_GB2312"/>
          <w:sz w:val="28"/>
          <w:szCs w:val="28"/>
        </w:rPr>
        <w:t>万元，预算执行率为95.88%；项目支出</w:t>
      </w:r>
      <w:r>
        <w:rPr>
          <w:rFonts w:ascii="仿宋_GB2312" w:eastAsia="仿宋_GB2312" w:hint="eastAsia"/>
          <w:sz w:val="28"/>
          <w:szCs w:val="28"/>
        </w:rPr>
        <w:t>9249.42</w:t>
      </w:r>
      <w:r>
        <w:rPr>
          <w:rFonts w:ascii="仿宋_GB2312" w:eastAsia="仿宋_GB2312"/>
          <w:sz w:val="28"/>
          <w:szCs w:val="28"/>
        </w:rPr>
        <w:t>万元，预算执行率为68.98%。</w:t>
      </w:r>
    </w:p>
    <w:p w:rsidR="000F2FBD" w:rsidRDefault="000F2FBD" w:rsidP="000F2FBD">
      <w:pPr>
        <w:adjustRightInd w:val="0"/>
        <w:snapToGrid w:val="0"/>
        <w:spacing w:line="360" w:lineRule="auto"/>
        <w:ind w:firstLineChars="200" w:firstLine="560"/>
        <w:rPr>
          <w:rFonts w:ascii="仿宋_GB2312" w:eastAsia="仿宋_GB2312"/>
          <w:sz w:val="28"/>
          <w:szCs w:val="28"/>
        </w:rPr>
      </w:pPr>
      <w:r>
        <w:rPr>
          <w:rFonts w:ascii="仿宋_GB2312" w:eastAsia="仿宋_GB2312"/>
          <w:sz w:val="28"/>
          <w:szCs w:val="28"/>
        </w:rPr>
        <w:t>综上，2022年度全年预算共计32280.57万元，支出27343.47万元，预算执行率84.71%。</w:t>
      </w:r>
    </w:p>
    <w:p w:rsidR="000F2FBD" w:rsidRDefault="000F2FBD" w:rsidP="000F2FBD">
      <w:pPr>
        <w:adjustRightInd w:val="0"/>
        <w:snapToGrid w:val="0"/>
        <w:spacing w:line="360" w:lineRule="auto"/>
        <w:jc w:val="center"/>
        <w:rPr>
          <w:rFonts w:eastAsia="黑体"/>
          <w:sz w:val="28"/>
          <w:szCs w:val="28"/>
        </w:rPr>
      </w:pPr>
      <w:r>
        <w:rPr>
          <w:rFonts w:eastAsia="黑体"/>
          <w:sz w:val="28"/>
          <w:szCs w:val="28"/>
        </w:rPr>
        <w:t>表</w:t>
      </w:r>
      <w:r>
        <w:rPr>
          <w:rFonts w:eastAsia="黑体"/>
          <w:sz w:val="28"/>
          <w:szCs w:val="28"/>
        </w:rPr>
        <w:t>2</w:t>
      </w:r>
      <w:r>
        <w:rPr>
          <w:rFonts w:eastAsia="黑体"/>
          <w:sz w:val="28"/>
          <w:szCs w:val="28"/>
        </w:rPr>
        <w:t>：</w:t>
      </w:r>
      <w:r>
        <w:rPr>
          <w:rFonts w:eastAsia="黑体"/>
          <w:sz w:val="28"/>
          <w:szCs w:val="28"/>
        </w:rPr>
        <w:t>2022</w:t>
      </w:r>
      <w:r>
        <w:rPr>
          <w:rFonts w:eastAsia="黑体"/>
          <w:sz w:val="28"/>
          <w:szCs w:val="28"/>
        </w:rPr>
        <w:t>年度预算执行情况表（万元）</w:t>
      </w:r>
    </w:p>
    <w:tbl>
      <w:tblPr>
        <w:tblW w:w="8346" w:type="dxa"/>
        <w:jc w:val="center"/>
        <w:tblLook w:val="0000"/>
      </w:tblPr>
      <w:tblGrid>
        <w:gridCol w:w="1060"/>
        <w:gridCol w:w="1616"/>
        <w:gridCol w:w="1420"/>
        <w:gridCol w:w="1420"/>
        <w:gridCol w:w="1420"/>
        <w:gridCol w:w="1410"/>
      </w:tblGrid>
      <w:tr w:rsidR="000F2FBD" w:rsidTr="001F6B1A">
        <w:trPr>
          <w:trHeight w:val="454"/>
          <w:tblHeader/>
          <w:jc w:val="center"/>
        </w:trPr>
        <w:tc>
          <w:tcPr>
            <w:tcW w:w="106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center"/>
              <w:textAlignment w:val="center"/>
              <w:rPr>
                <w:b/>
                <w:bCs/>
                <w:color w:val="000000"/>
                <w:sz w:val="20"/>
                <w:szCs w:val="20"/>
              </w:rPr>
            </w:pPr>
            <w:r>
              <w:rPr>
                <w:b/>
                <w:bCs/>
                <w:color w:val="000000"/>
                <w:kern w:val="0"/>
                <w:sz w:val="20"/>
                <w:szCs w:val="20"/>
                <w:lang/>
              </w:rPr>
              <w:t>单位名称</w:t>
            </w:r>
          </w:p>
        </w:tc>
        <w:tc>
          <w:tcPr>
            <w:tcW w:w="1616"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center"/>
              <w:textAlignment w:val="center"/>
              <w:rPr>
                <w:b/>
                <w:bCs/>
                <w:color w:val="000000"/>
                <w:sz w:val="20"/>
                <w:szCs w:val="20"/>
              </w:rPr>
            </w:pPr>
            <w:r>
              <w:rPr>
                <w:b/>
                <w:bCs/>
                <w:color w:val="000000"/>
                <w:kern w:val="0"/>
                <w:sz w:val="20"/>
                <w:szCs w:val="20"/>
                <w:lang/>
              </w:rPr>
              <w:t>支出性质</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center"/>
              <w:textAlignment w:val="center"/>
              <w:rPr>
                <w:b/>
                <w:bCs/>
                <w:color w:val="000000"/>
                <w:sz w:val="20"/>
                <w:szCs w:val="20"/>
              </w:rPr>
            </w:pPr>
            <w:r>
              <w:rPr>
                <w:b/>
                <w:bCs/>
                <w:color w:val="000000"/>
                <w:kern w:val="0"/>
                <w:sz w:val="20"/>
                <w:szCs w:val="20"/>
                <w:lang/>
              </w:rPr>
              <w:t>年初预算数</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center"/>
              <w:textAlignment w:val="center"/>
              <w:rPr>
                <w:b/>
                <w:bCs/>
                <w:color w:val="000000"/>
                <w:sz w:val="20"/>
                <w:szCs w:val="20"/>
              </w:rPr>
            </w:pPr>
            <w:r>
              <w:rPr>
                <w:b/>
                <w:bCs/>
                <w:color w:val="000000"/>
                <w:kern w:val="0"/>
                <w:sz w:val="20"/>
                <w:szCs w:val="20"/>
                <w:lang/>
              </w:rPr>
              <w:t>全年预算数</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center"/>
              <w:textAlignment w:val="center"/>
              <w:rPr>
                <w:b/>
                <w:bCs/>
                <w:color w:val="000000"/>
                <w:sz w:val="20"/>
                <w:szCs w:val="20"/>
              </w:rPr>
            </w:pPr>
            <w:r>
              <w:rPr>
                <w:b/>
                <w:bCs/>
                <w:color w:val="000000"/>
                <w:kern w:val="0"/>
                <w:sz w:val="20"/>
                <w:szCs w:val="20"/>
                <w:lang/>
              </w:rPr>
              <w:t>全年执行数</w:t>
            </w: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left"/>
              <w:textAlignment w:val="center"/>
              <w:rPr>
                <w:b/>
                <w:bCs/>
                <w:color w:val="000000"/>
                <w:sz w:val="20"/>
                <w:szCs w:val="20"/>
              </w:rPr>
            </w:pPr>
            <w:r>
              <w:rPr>
                <w:b/>
                <w:bCs/>
                <w:color w:val="000000"/>
                <w:kern w:val="0"/>
                <w:sz w:val="20"/>
                <w:szCs w:val="20"/>
                <w:lang/>
              </w:rPr>
              <w:t>预算执行率</w:t>
            </w:r>
          </w:p>
        </w:tc>
      </w:tr>
      <w:tr w:rsidR="000F2FBD" w:rsidTr="001F6B1A">
        <w:trPr>
          <w:trHeight w:val="454"/>
          <w:jc w:val="center"/>
        </w:trPr>
        <w:tc>
          <w:tcPr>
            <w:tcW w:w="1060" w:type="dxa"/>
            <w:vMerge w:val="restart"/>
            <w:tcBorders>
              <w:top w:val="single" w:sz="4" w:space="0" w:color="000000"/>
              <w:left w:val="single" w:sz="4" w:space="0" w:color="000000"/>
              <w:bottom w:val="single" w:sz="4" w:space="0" w:color="000000"/>
              <w:right w:val="single" w:sz="4" w:space="0" w:color="000000"/>
            </w:tcBorders>
            <w:vAlign w:val="center"/>
          </w:tcPr>
          <w:p w:rsidR="000F2FBD" w:rsidRDefault="000F2FBD" w:rsidP="001F6B1A">
            <w:pPr>
              <w:widowControl/>
              <w:adjustRightInd w:val="0"/>
              <w:snapToGrid w:val="0"/>
              <w:jc w:val="center"/>
              <w:textAlignment w:val="center"/>
              <w:rPr>
                <w:color w:val="000000"/>
                <w:sz w:val="20"/>
                <w:szCs w:val="20"/>
              </w:rPr>
            </w:pPr>
            <w:r>
              <w:rPr>
                <w:color w:val="000000"/>
                <w:kern w:val="0"/>
                <w:sz w:val="20"/>
                <w:szCs w:val="20"/>
                <w:lang/>
              </w:rPr>
              <w:t>市委党校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left"/>
              <w:textAlignment w:val="center"/>
              <w:rPr>
                <w:color w:val="000000"/>
                <w:sz w:val="20"/>
                <w:szCs w:val="20"/>
              </w:rPr>
            </w:pPr>
            <w:r>
              <w:rPr>
                <w:color w:val="000000"/>
                <w:kern w:val="0"/>
                <w:sz w:val="20"/>
                <w:szCs w:val="20"/>
                <w:lang/>
              </w:rPr>
              <w:t>基本支出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18439.04</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18871.73</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18094.05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95.88%</w:t>
            </w:r>
          </w:p>
        </w:tc>
      </w:tr>
      <w:tr w:rsidR="000F2FBD" w:rsidTr="001F6B1A">
        <w:trPr>
          <w:trHeight w:val="454"/>
          <w:jc w:val="center"/>
        </w:trPr>
        <w:tc>
          <w:tcPr>
            <w:tcW w:w="1060" w:type="dxa"/>
            <w:vMerge/>
            <w:tcBorders>
              <w:top w:val="single" w:sz="4" w:space="0" w:color="000000"/>
              <w:left w:val="single" w:sz="4" w:space="0" w:color="000000"/>
              <w:bottom w:val="single" w:sz="4" w:space="0" w:color="000000"/>
              <w:right w:val="single" w:sz="4" w:space="0" w:color="000000"/>
            </w:tcBorders>
            <w:vAlign w:val="center"/>
          </w:tcPr>
          <w:p w:rsidR="000F2FBD" w:rsidRDefault="000F2FBD" w:rsidP="001F6B1A">
            <w:pPr>
              <w:adjustRightInd w:val="0"/>
              <w:snapToGrid w:val="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 xml:space="preserve">      </w:t>
            </w:r>
            <w:r>
              <w:rPr>
                <w:color w:val="000000"/>
                <w:kern w:val="0"/>
                <w:sz w:val="20"/>
                <w:szCs w:val="20"/>
                <w:lang/>
              </w:rPr>
              <w:t>人员经费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15711.09</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16608.02</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16156.19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97.28%</w:t>
            </w:r>
          </w:p>
        </w:tc>
      </w:tr>
      <w:tr w:rsidR="000F2FBD" w:rsidTr="001F6B1A">
        <w:trPr>
          <w:trHeight w:val="454"/>
          <w:jc w:val="center"/>
        </w:trPr>
        <w:tc>
          <w:tcPr>
            <w:tcW w:w="1060" w:type="dxa"/>
            <w:vMerge/>
            <w:tcBorders>
              <w:top w:val="single" w:sz="4" w:space="0" w:color="000000"/>
              <w:left w:val="single" w:sz="4" w:space="0" w:color="000000"/>
              <w:bottom w:val="single" w:sz="4" w:space="0" w:color="000000"/>
              <w:right w:val="single" w:sz="4" w:space="0" w:color="000000"/>
            </w:tcBorders>
            <w:vAlign w:val="center"/>
          </w:tcPr>
          <w:p w:rsidR="000F2FBD" w:rsidRDefault="000F2FBD" w:rsidP="001F6B1A">
            <w:pPr>
              <w:adjustRightInd w:val="0"/>
              <w:snapToGrid w:val="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 xml:space="preserve">      </w:t>
            </w:r>
            <w:r>
              <w:rPr>
                <w:color w:val="000000"/>
                <w:kern w:val="0"/>
                <w:sz w:val="20"/>
                <w:szCs w:val="20"/>
                <w:lang/>
              </w:rPr>
              <w:t>公用经费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2727.95</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2263.71</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1937.86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85.61%</w:t>
            </w:r>
          </w:p>
        </w:tc>
      </w:tr>
      <w:tr w:rsidR="000F2FBD" w:rsidTr="001F6B1A">
        <w:trPr>
          <w:trHeight w:val="454"/>
          <w:jc w:val="center"/>
        </w:trPr>
        <w:tc>
          <w:tcPr>
            <w:tcW w:w="1060" w:type="dxa"/>
            <w:vMerge/>
            <w:tcBorders>
              <w:top w:val="single" w:sz="4" w:space="0" w:color="000000"/>
              <w:left w:val="single" w:sz="4" w:space="0" w:color="000000"/>
              <w:bottom w:val="single" w:sz="4" w:space="0" w:color="000000"/>
              <w:right w:val="single" w:sz="4" w:space="0" w:color="000000"/>
            </w:tcBorders>
            <w:vAlign w:val="center"/>
          </w:tcPr>
          <w:p w:rsidR="000F2FBD" w:rsidRDefault="000F2FBD" w:rsidP="001F6B1A">
            <w:pPr>
              <w:adjustRightInd w:val="0"/>
              <w:snapToGrid w:val="0"/>
              <w:jc w:val="center"/>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left"/>
              <w:textAlignment w:val="center"/>
              <w:rPr>
                <w:color w:val="000000"/>
                <w:sz w:val="20"/>
                <w:szCs w:val="20"/>
              </w:rPr>
            </w:pPr>
            <w:r>
              <w:rPr>
                <w:color w:val="000000"/>
                <w:kern w:val="0"/>
                <w:sz w:val="20"/>
                <w:szCs w:val="20"/>
                <w:lang/>
              </w:rPr>
              <w:t>项目支出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13122.05</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13408</w:t>
            </w:r>
            <w:r>
              <w:rPr>
                <w:rFonts w:hint="eastAsia"/>
                <w:color w:val="000000"/>
                <w:kern w:val="0"/>
                <w:sz w:val="20"/>
                <w:szCs w:val="20"/>
                <w:lang/>
              </w:rPr>
              <w:t>.</w:t>
            </w:r>
            <w:r>
              <w:rPr>
                <w:color w:val="000000"/>
                <w:kern w:val="0"/>
                <w:sz w:val="20"/>
                <w:szCs w:val="20"/>
                <w:lang/>
              </w:rPr>
              <w:t>84</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9249.42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color w:val="000000"/>
                <w:sz w:val="20"/>
                <w:szCs w:val="20"/>
              </w:rPr>
            </w:pPr>
            <w:r>
              <w:rPr>
                <w:color w:val="000000"/>
                <w:kern w:val="0"/>
                <w:sz w:val="20"/>
                <w:szCs w:val="20"/>
                <w:lang/>
              </w:rPr>
              <w:t>68.98%</w:t>
            </w:r>
          </w:p>
        </w:tc>
      </w:tr>
      <w:tr w:rsidR="000F2FBD" w:rsidTr="001F6B1A">
        <w:trPr>
          <w:trHeight w:val="454"/>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center"/>
              <w:textAlignment w:val="center"/>
              <w:rPr>
                <w:b/>
                <w:bCs/>
                <w:color w:val="000000"/>
                <w:sz w:val="20"/>
                <w:szCs w:val="20"/>
              </w:rPr>
            </w:pPr>
            <w:r>
              <w:rPr>
                <w:b/>
                <w:bCs/>
                <w:color w:val="000000"/>
                <w:kern w:val="0"/>
                <w:sz w:val="20"/>
                <w:szCs w:val="20"/>
                <w:lang/>
              </w:rPr>
              <w:t>合</w:t>
            </w:r>
            <w:r>
              <w:rPr>
                <w:b/>
                <w:bCs/>
                <w:color w:val="000000"/>
                <w:kern w:val="0"/>
                <w:sz w:val="20"/>
                <w:szCs w:val="20"/>
                <w:lang/>
              </w:rPr>
              <w:t xml:space="preserve">  </w:t>
            </w:r>
            <w:r>
              <w:rPr>
                <w:b/>
                <w:bCs/>
                <w:color w:val="000000"/>
                <w:kern w:val="0"/>
                <w:sz w:val="20"/>
                <w:szCs w:val="20"/>
                <w:lang/>
              </w:rPr>
              <w:t>计</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b/>
                <w:bCs/>
                <w:color w:val="000000"/>
                <w:sz w:val="20"/>
                <w:szCs w:val="20"/>
              </w:rPr>
            </w:pPr>
            <w:r>
              <w:rPr>
                <w:b/>
                <w:bCs/>
                <w:color w:val="000000"/>
                <w:kern w:val="0"/>
                <w:sz w:val="20"/>
                <w:szCs w:val="20"/>
                <w:lang/>
              </w:rPr>
              <w:t>31561.09</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b/>
                <w:bCs/>
                <w:color w:val="000000"/>
                <w:sz w:val="20"/>
                <w:szCs w:val="20"/>
              </w:rPr>
            </w:pPr>
            <w:r>
              <w:rPr>
                <w:b/>
                <w:bCs/>
                <w:color w:val="000000"/>
                <w:kern w:val="0"/>
                <w:sz w:val="20"/>
                <w:szCs w:val="20"/>
                <w:lang/>
              </w:rPr>
              <w:t>32280.57</w:t>
            </w:r>
          </w:p>
        </w:tc>
        <w:tc>
          <w:tcPr>
            <w:tcW w:w="142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b/>
                <w:bCs/>
                <w:color w:val="000000"/>
                <w:sz w:val="20"/>
                <w:szCs w:val="20"/>
              </w:rPr>
            </w:pPr>
            <w:r>
              <w:rPr>
                <w:b/>
                <w:bCs/>
                <w:color w:val="000000"/>
                <w:kern w:val="0"/>
                <w:sz w:val="20"/>
                <w:szCs w:val="20"/>
                <w:lang/>
              </w:rPr>
              <w:t>27343.47</w:t>
            </w: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0F2FBD" w:rsidRDefault="000F2FBD" w:rsidP="001F6B1A">
            <w:pPr>
              <w:widowControl/>
              <w:adjustRightInd w:val="0"/>
              <w:snapToGrid w:val="0"/>
              <w:jc w:val="right"/>
              <w:textAlignment w:val="center"/>
              <w:rPr>
                <w:b/>
                <w:bCs/>
                <w:color w:val="000000"/>
                <w:sz w:val="20"/>
                <w:szCs w:val="20"/>
              </w:rPr>
            </w:pPr>
            <w:r>
              <w:rPr>
                <w:b/>
                <w:bCs/>
                <w:color w:val="000000"/>
                <w:kern w:val="0"/>
                <w:sz w:val="20"/>
                <w:szCs w:val="20"/>
                <w:lang/>
              </w:rPr>
              <w:t>84.71%</w:t>
            </w:r>
          </w:p>
        </w:tc>
      </w:tr>
    </w:tbl>
    <w:p w:rsidR="000F2FBD" w:rsidRDefault="000F2FBD" w:rsidP="000F2FBD">
      <w:pPr>
        <w:spacing w:line="600" w:lineRule="exact"/>
        <w:ind w:firstLineChars="200" w:firstLine="640"/>
        <w:rPr>
          <w:rFonts w:ascii="黑体" w:eastAsia="黑体" w:hAnsi="黑体" w:cs="宋体" w:hint="eastAsia"/>
          <w:color w:val="000000"/>
          <w:kern w:val="0"/>
          <w:sz w:val="32"/>
          <w:szCs w:val="32"/>
        </w:rPr>
      </w:pPr>
      <w:bookmarkStart w:id="8" w:name="_Toc14882"/>
      <w:bookmarkStart w:id="9" w:name="_Toc13975"/>
    </w:p>
    <w:p w:rsidR="000F2FBD" w:rsidRDefault="000F2FBD" w:rsidP="000F2FBD">
      <w:pPr>
        <w:spacing w:line="60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三、整体绩效目标实现情况</w:t>
      </w:r>
      <w:bookmarkEnd w:id="8"/>
      <w:bookmarkEnd w:id="9"/>
    </w:p>
    <w:p w:rsidR="000F2FBD" w:rsidRDefault="000F2FBD" w:rsidP="000F2FBD">
      <w:pPr>
        <w:spacing w:line="600" w:lineRule="exact"/>
        <w:ind w:firstLineChars="200" w:firstLine="640"/>
        <w:rPr>
          <w:rFonts w:ascii="楷体_GB2312" w:eastAsia="楷体_GB2312"/>
          <w:sz w:val="32"/>
          <w:szCs w:val="32"/>
        </w:rPr>
      </w:pPr>
      <w:bookmarkStart w:id="10" w:name="_Toc7728"/>
      <w:bookmarkStart w:id="11" w:name="_Toc3762"/>
      <w:r>
        <w:rPr>
          <w:rFonts w:ascii="楷体_GB2312" w:eastAsia="楷体_GB2312"/>
          <w:sz w:val="32"/>
          <w:szCs w:val="32"/>
        </w:rPr>
        <w:t>（一）产出完成情况分析</w:t>
      </w:r>
      <w:bookmarkEnd w:id="10"/>
      <w:bookmarkEnd w:id="11"/>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1.产出数量</w:t>
      </w:r>
    </w:p>
    <w:p w:rsidR="000F2FBD" w:rsidRDefault="000F2FBD" w:rsidP="000F2FBD">
      <w:pPr>
        <w:adjustRightInd w:val="0"/>
        <w:snapToGrid w:val="0"/>
        <w:spacing w:line="360" w:lineRule="auto"/>
        <w:ind w:firstLineChars="200" w:firstLine="560"/>
        <w:rPr>
          <w:rFonts w:ascii="仿宋_GB2312" w:eastAsia="仿宋_GB2312"/>
          <w:sz w:val="28"/>
          <w:szCs w:val="28"/>
        </w:rPr>
      </w:pPr>
      <w:r>
        <w:rPr>
          <w:rFonts w:ascii="仿宋_GB2312" w:eastAsia="仿宋_GB2312"/>
          <w:sz w:val="28"/>
          <w:szCs w:val="28"/>
        </w:rPr>
        <w:t>2022年度教学培训、科学研究、决策咨询课题研究、教学保障、机构运行保障等大部分工作任务按计划完成。</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教学培训方面。一是为了带领学员深入学习贯彻习近平新时代中国特色社会主义思想，学习贯彻党的二十大、十九大和十九届二中</w:t>
      </w:r>
      <w:r>
        <w:rPr>
          <w:rFonts w:ascii="仿宋_GB2312" w:eastAsia="仿宋_GB2312" w:hint="eastAsia"/>
          <w:sz w:val="28"/>
          <w:szCs w:val="28"/>
        </w:rPr>
        <w:t>、</w:t>
      </w:r>
      <w:r>
        <w:rPr>
          <w:rFonts w:ascii="仿宋_GB2312" w:eastAsia="仿宋_GB2312"/>
          <w:sz w:val="28"/>
          <w:szCs w:val="28"/>
        </w:rPr>
        <w:t>三中</w:t>
      </w:r>
      <w:r>
        <w:rPr>
          <w:rFonts w:ascii="仿宋_GB2312" w:eastAsia="仿宋_GB2312" w:hint="eastAsia"/>
          <w:sz w:val="28"/>
          <w:szCs w:val="28"/>
        </w:rPr>
        <w:t>、</w:t>
      </w:r>
      <w:r>
        <w:rPr>
          <w:rFonts w:ascii="仿宋_GB2312" w:eastAsia="仿宋_GB2312"/>
          <w:sz w:val="28"/>
          <w:szCs w:val="28"/>
        </w:rPr>
        <w:t>四中、五中、六中全会精神，学习贯彻习近平总书记最新重要讲话精神和重要指示等相关内容，系统学习马克思列宁主义、毛泽东思想和中国特色社会主义理论体系，提高干部治理能力，加强综合能力和专业化能力训练，提高政治能力和履职能力，组织开展了研修班、专题班培训共计55期培训，共培训学员6059人，但受疫情及组织部等实际调训情况影响，部分主体班和专题班培训调训人数有变动。二是为强化主业主课建设，以习近平新时代中国特色社会主义思想统领教学布局，深入研究理论教育、党性教育和新时代首都发展课程体系，举办了第六届校（院）精品课比赛，完成了校级集体备课8次，聘请教学督导对课程进行23门次督导，编制了210套教学情况统计册，举办了40次党性教育基地讲解，完成至少4种大纲等材料的印刷，主体班课程讲稿评优20篇。但受疫情影响，备课次数、基地讲解次数有所减少。三是出版了12000册《观园》、2000册《北京市情数据手册2022》、1000册《北京市情研究文辑》</w:t>
      </w:r>
      <w:r>
        <w:rPr>
          <w:rFonts w:ascii="仿宋_GB2312" w:eastAsia="仿宋_GB2312" w:hint="eastAsia"/>
          <w:sz w:val="28"/>
          <w:szCs w:val="28"/>
        </w:rPr>
        <w:t>（</w:t>
      </w:r>
      <w:r>
        <w:rPr>
          <w:rFonts w:ascii="仿宋_GB2312" w:eastAsia="仿宋_GB2312"/>
          <w:sz w:val="28"/>
          <w:szCs w:val="28"/>
        </w:rPr>
        <w:t>第四辑），为领导干部提供反映北京市经济社会等方面的基本指标，</w:t>
      </w:r>
      <w:r>
        <w:rPr>
          <w:rFonts w:ascii="仿宋_GB2312" w:eastAsia="仿宋_GB2312"/>
          <w:sz w:val="28"/>
          <w:szCs w:val="28"/>
        </w:rPr>
        <w:lastRenderedPageBreak/>
        <w:t>增强领导干部党性修养和工作能力，丰富学员、教职员工以及研究生精神文化生活。四是开展教育、业务培训共4次，教学科研咨询指导40人次，强化了服务基层力度。</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bookmarkStart w:id="12" w:name="_Hlk74858145"/>
      <w:r>
        <w:rPr>
          <w:rFonts w:ascii="仿宋_GB2312" w:eastAsia="仿宋_GB2312"/>
          <w:sz w:val="28"/>
          <w:szCs w:val="28"/>
        </w:rPr>
        <w:t>科学研究方面</w:t>
      </w:r>
      <w:bookmarkEnd w:id="12"/>
      <w:r>
        <w:rPr>
          <w:rFonts w:ascii="仿宋_GB2312" w:eastAsia="仿宋_GB2312"/>
          <w:sz w:val="28"/>
          <w:szCs w:val="28"/>
        </w:rPr>
        <w:t>。一是通过对学科建设所涉及的学科定位</w:t>
      </w:r>
      <w:r>
        <w:rPr>
          <w:rFonts w:ascii="仿宋_GB2312" w:eastAsia="仿宋_GB2312" w:hint="eastAsia"/>
          <w:sz w:val="28"/>
          <w:szCs w:val="28"/>
        </w:rPr>
        <w:t>（</w:t>
      </w:r>
      <w:r>
        <w:rPr>
          <w:rFonts w:ascii="仿宋_GB2312" w:eastAsia="仿宋_GB2312"/>
          <w:sz w:val="28"/>
          <w:szCs w:val="28"/>
        </w:rPr>
        <w:t>学科方向和发展层次</w:t>
      </w:r>
      <w:r>
        <w:rPr>
          <w:rFonts w:ascii="仿宋_GB2312" w:eastAsia="仿宋_GB2312" w:hint="eastAsia"/>
          <w:sz w:val="28"/>
          <w:szCs w:val="28"/>
        </w:rPr>
        <w:t>）</w:t>
      </w:r>
      <w:r>
        <w:rPr>
          <w:rFonts w:ascii="仿宋_GB2312" w:eastAsia="仿宋_GB2312"/>
          <w:sz w:val="28"/>
          <w:szCs w:val="28"/>
        </w:rPr>
        <w:t>、学科队伍</w:t>
      </w:r>
      <w:r>
        <w:rPr>
          <w:rFonts w:ascii="仿宋_GB2312" w:eastAsia="仿宋_GB2312" w:hint="eastAsia"/>
          <w:sz w:val="28"/>
          <w:szCs w:val="28"/>
        </w:rPr>
        <w:t>（学科带头人和学科梯队）、科学研究、人才培养、学科基地（中心和重点学科等）、学</w:t>
      </w:r>
      <w:r>
        <w:rPr>
          <w:rFonts w:ascii="仿宋_GB2312" w:eastAsia="仿宋_GB2312"/>
          <w:sz w:val="28"/>
          <w:szCs w:val="28"/>
        </w:rPr>
        <w:t>科管理进行研究和开发，完成了13个学科建设、16个硕士学位点建设、1个博士后工作站建设、12个研究基地（中心）建设，推进了学科建设发展，形成了既与国内外学科发展趋势相衔接又具有鲜明党校特色的学科体系。二是实现博士后1人在站，提高了我校教研人才的科研能力和综合素质，培养适应首都现代化建设的人才，加强科研人才队伍建设，在首都现代化建设中发挥了更好的作用。三是组织了43次学术论坛、43次小型学术会议、2次研讨会，促进对外学术交流、促进科研人员了解学科发展的前沿动向，加大对重大理论和现实问题的研究力度，从而进一步提升党校系统教研人员学术素养</w:t>
      </w:r>
      <w:r>
        <w:rPr>
          <w:rFonts w:ascii="仿宋_GB2312" w:eastAsia="仿宋_GB2312" w:hint="eastAsia"/>
          <w:sz w:val="28"/>
          <w:szCs w:val="28"/>
        </w:rPr>
        <w:t>。</w:t>
      </w:r>
      <w:r>
        <w:rPr>
          <w:rFonts w:ascii="仿宋_GB2312" w:eastAsia="仿宋_GB2312"/>
          <w:sz w:val="28"/>
          <w:szCs w:val="28"/>
        </w:rPr>
        <w:t>但由于疫情影响，个别会议及研讨会推迟至2023年举行、出国走访活动取消。</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hint="eastAsia"/>
          <w:sz w:val="28"/>
          <w:szCs w:val="28"/>
        </w:rPr>
        <w:t>决策咨询课题研究方面。一是为严格贯彻落实学校“十四五”规划和“创建一流省级党校行动规划”，</w:t>
      </w:r>
      <w:r>
        <w:rPr>
          <w:rFonts w:ascii="仿宋_GB2312" w:eastAsia="仿宋_GB2312"/>
          <w:sz w:val="28"/>
          <w:szCs w:val="28"/>
        </w:rPr>
        <w:t>不断提高编印质量、扩大学术影响力，完成了6期《北京行政学院学报》、6期《新视野》、17期《北京干部教育》的编辑、出版、发行，扩大了学术影响力。二是为深入贯彻落实了《中国共产党党校（行政学院）工作条例》等文件要求，完成了36项重点调研课题按期结项、资助了4项全国地方党校（行政学院）重点调研课题，并且完成结题、36项校（院）级科研项目、资助出版高质量的学术著作10部，促进教研人员学术著作尽早面世，促进了优秀成果产出，推进了学术积累与学术创新，</w:t>
      </w:r>
      <w:r>
        <w:rPr>
          <w:rFonts w:ascii="仿宋_GB2312" w:eastAsia="仿宋_GB2312"/>
          <w:sz w:val="28"/>
          <w:szCs w:val="28"/>
        </w:rPr>
        <w:lastRenderedPageBreak/>
        <w:t>发挥了科研工作的基础作用</w:t>
      </w:r>
      <w:r>
        <w:rPr>
          <w:rFonts w:ascii="仿宋_GB2312" w:eastAsia="仿宋_GB2312" w:hint="eastAsia"/>
          <w:sz w:val="28"/>
          <w:szCs w:val="28"/>
        </w:rPr>
        <w:t>，</w:t>
      </w:r>
      <w:r>
        <w:rPr>
          <w:rFonts w:ascii="仿宋_GB2312" w:eastAsia="仿宋_GB2312"/>
          <w:sz w:val="28"/>
          <w:szCs w:val="28"/>
        </w:rPr>
        <w:t>但</w:t>
      </w:r>
      <w:r>
        <w:rPr>
          <w:rFonts w:ascii="仿宋_GB2312" w:eastAsia="仿宋_GB2312" w:hint="eastAsia"/>
          <w:sz w:val="28"/>
          <w:szCs w:val="28"/>
        </w:rPr>
        <w:t>受</w:t>
      </w:r>
      <w:r>
        <w:rPr>
          <w:rFonts w:ascii="仿宋_GB2312" w:eastAsia="仿宋_GB2312"/>
          <w:sz w:val="28"/>
          <w:szCs w:val="28"/>
        </w:rPr>
        <w:t>疫情</w:t>
      </w:r>
      <w:r>
        <w:rPr>
          <w:rFonts w:ascii="仿宋_GB2312" w:eastAsia="仿宋_GB2312" w:hint="eastAsia"/>
          <w:sz w:val="28"/>
          <w:szCs w:val="28"/>
        </w:rPr>
        <w:t>影响</w:t>
      </w:r>
      <w:r>
        <w:rPr>
          <w:rFonts w:ascii="仿宋_GB2312" w:eastAsia="仿宋_GB2312"/>
          <w:sz w:val="28"/>
          <w:szCs w:val="28"/>
        </w:rPr>
        <w:t>，部分评审工作延期举行。三是图书馆纸质资源建设，购买了5004册中外文图书及音像资料、订购了677种中文报刊、订购了53种港台外文报刊，满足了读者在教学、科研、决策咨询方面的需求，报刊订阅为读者提供连续性文献资料支撑。四是完成了50册《党校智库建议》2021年合订本、70期《党校智库建议》的刊发工作、立项申报书汇编、成果评审材料汇编共60册，提升了教职员工开展决策咨询研究的能力和水平及党校在全市高端智库当中的影响力。五是根据首都高端智库理事会明确的研究任务，按照市委市政府中心工作和校（院）研究特色，自建数据库数量1种，外购数据库使用权36种，购买北京市高端服务业发展研究基地外购数据库1种，开展并完成智库项目17项，保质保量做好智库研究工作。</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教学保障方面。一是为满足学员培训和会议顺利进行，采购文印物资、宿舍物资、保洁物资、会议物资、工程物资、防疫物资、洗涤用品等共125645件，工程维修12198</w:t>
      </w:r>
      <w:r>
        <w:rPr>
          <w:rFonts w:ascii="仿宋_GB2312" w:eastAsia="仿宋_GB2312" w:hint="eastAsia"/>
          <w:sz w:val="28"/>
          <w:szCs w:val="28"/>
        </w:rPr>
        <w:t>件</w:t>
      </w:r>
      <w:r>
        <w:rPr>
          <w:rFonts w:ascii="仿宋_GB2312" w:eastAsia="仿宋_GB2312"/>
          <w:sz w:val="28"/>
          <w:szCs w:val="28"/>
        </w:rPr>
        <w:t>、会议接待152778人次、场馆接待20782人次、党性教育基地接待885人，但疫情原因，学校部分班次停办，导致物资供应量、接待人次未能达标。二是为维护校园环境，全年绿化养护面积39300㎡，聘用了物业服务人员245名，餐饮服务人员100名，为全校师生在校期间的人身安全及餐饮卫生提供保障。三是为保证信息化、软硬件办公教学对互联网的使用需求，满足网络和各信息系统正常运行，校园互联网接入链条共4条，购置47套硬件，购置18套软件及音视频素材，对27个UPS电源设备进行巡检保养，完成运维网络项目共11个，维护网站6个，购置设备共739套，新增视频设备70个，完成等保测评1次，为党校日常办公及教学提供了互联网、设备使用基础，保障信息安全。四是</w:t>
      </w:r>
      <w:r>
        <w:rPr>
          <w:rFonts w:ascii="仿宋_GB2312" w:eastAsia="仿宋_GB2312"/>
          <w:sz w:val="28"/>
          <w:szCs w:val="28"/>
        </w:rPr>
        <w:lastRenderedPageBreak/>
        <w:t>保证图书馆基本运行维护、采编数据加工、技术支持运行，采编数据1253条，但由于编目数据单价提升，</w:t>
      </w:r>
      <w:r>
        <w:rPr>
          <w:rFonts w:ascii="仿宋_GB2312" w:eastAsia="仿宋_GB2312" w:hint="eastAsia"/>
          <w:sz w:val="28"/>
          <w:szCs w:val="28"/>
        </w:rPr>
        <w:t>采集数据较计划偏少</w:t>
      </w:r>
      <w:r>
        <w:rPr>
          <w:rFonts w:ascii="仿宋_GB2312" w:eastAsia="仿宋_GB2312"/>
          <w:sz w:val="28"/>
          <w:szCs w:val="28"/>
        </w:rPr>
        <w:t>。五是有效开展了宣传和信息发布工作，树立良好党校形象，建设运维平台、系统等共9项，SSL证书选购和安装7个。六是为满足正常用车需求，完成了249次日常机要保障任务，租用新能源汽车2辆。</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机构运行保障方面。一是为满足教职工在新系统下的办公使用，升级改造系统621套。为使学员安全得到保障，满足消防安全，更换了5台控制箱（柜），安装了感烟探测器231个、灶台灭火系统1套、防盗门18个、感温火灾探测器9个。二是为保障设备损坏时基地的正常运行，1年中每月完成定时保障，运维保障范围内设施设备数达到380个，购置投影备品备件15套，同时租借重要设备以保障设备损坏时基地的正常运行。</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2.产出质量</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为确保各项工作实施效果良好，党校严把质量关。在工作实施过程中，注重项目执行及资金使用情况的定期跟踪。在工作实施结束后，注重工作成果验收，委托业务以合同规定的工作内容、考核标准为基本依据进行验收；教学培训工作从教学内容鲜活性和实用性、教学方法创新性和启发性、教学时间分配与把控、教学效果实践性与指导性等方面进行教学评估打分，且培训班学员结业率达100%；科研工作充分借助专家力量，对结项成果进行验收；决策咨询课题研究完成了各项科研决策类项目的选题、立项、中期检查、结项，稿件领导批示或转载率达76.8%；教学保障采购食材安全，教室宿舍干净、卫生，校园环境安全，消防设备设施无故障，网络信息安全，系统设备正常运行率达100%；机构运行保障设备</w:t>
      </w:r>
      <w:r>
        <w:rPr>
          <w:rFonts w:ascii="仿宋_GB2312" w:eastAsia="仿宋_GB2312" w:hint="eastAsia"/>
          <w:sz w:val="28"/>
          <w:szCs w:val="28"/>
        </w:rPr>
        <w:t>、</w:t>
      </w:r>
      <w:r>
        <w:rPr>
          <w:rFonts w:ascii="仿宋_GB2312" w:eastAsia="仿宋_GB2312"/>
          <w:sz w:val="28"/>
          <w:szCs w:val="28"/>
        </w:rPr>
        <w:t>工程验收</w:t>
      </w:r>
      <w:r>
        <w:rPr>
          <w:rFonts w:ascii="仿宋_GB2312" w:eastAsia="仿宋_GB2312" w:hint="eastAsia"/>
          <w:sz w:val="28"/>
          <w:szCs w:val="28"/>
        </w:rPr>
        <w:t>均</w:t>
      </w:r>
      <w:r>
        <w:rPr>
          <w:rFonts w:ascii="仿宋_GB2312" w:eastAsia="仿宋_GB2312"/>
          <w:sz w:val="28"/>
          <w:szCs w:val="28"/>
        </w:rPr>
        <w:t>符合</w:t>
      </w:r>
      <w:r>
        <w:rPr>
          <w:rFonts w:ascii="仿宋_GB2312" w:eastAsia="仿宋_GB2312" w:hint="eastAsia"/>
          <w:sz w:val="28"/>
          <w:szCs w:val="28"/>
        </w:rPr>
        <w:t>国家</w:t>
      </w:r>
      <w:r>
        <w:rPr>
          <w:rFonts w:ascii="仿宋_GB2312" w:eastAsia="仿宋_GB2312"/>
          <w:sz w:val="28"/>
          <w:szCs w:val="28"/>
        </w:rPr>
        <w:t>相关标准。综上，2022年部门工作完成质量较好。</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lastRenderedPageBreak/>
        <w:t>3.产出进度</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根据部门整体目标产出完成情况分析，各项工作基本能够按照计划要求完成。年度各项工作有序推进落实，项目实施进度及产出时效性较好。但是部分工作受新冠疫情、设计变更等不定因素的影响，存在一定滞后问题，如科研学术活动经费项目中</w:t>
      </w:r>
      <w:r>
        <w:rPr>
          <w:rFonts w:ascii="仿宋_GB2312" w:eastAsia="仿宋_GB2312"/>
          <w:sz w:val="28"/>
          <w:szCs w:val="28"/>
        </w:rPr>
        <w:t>“</w:t>
      </w:r>
      <w:r>
        <w:rPr>
          <w:rFonts w:ascii="仿宋_GB2312" w:eastAsia="仿宋_GB2312"/>
          <w:sz w:val="28"/>
          <w:szCs w:val="28"/>
        </w:rPr>
        <w:t>第十四届环渤海区域合作与发展党校论坛</w:t>
      </w:r>
      <w:r>
        <w:rPr>
          <w:rFonts w:ascii="仿宋_GB2312" w:eastAsia="仿宋_GB2312"/>
          <w:sz w:val="28"/>
          <w:szCs w:val="28"/>
        </w:rPr>
        <w:t>”</w:t>
      </w:r>
      <w:r>
        <w:rPr>
          <w:rFonts w:ascii="仿宋_GB2312" w:eastAsia="仿宋_GB2312"/>
          <w:sz w:val="28"/>
          <w:szCs w:val="28"/>
        </w:rPr>
        <w:t>推迟至2023年召开。</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4.产出成本</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按照从严控制的原则规范资金支出</w:t>
      </w:r>
      <w:r>
        <w:rPr>
          <w:rFonts w:ascii="仿宋_GB2312" w:eastAsia="仿宋_GB2312" w:hint="eastAsia"/>
          <w:sz w:val="28"/>
          <w:szCs w:val="28"/>
        </w:rPr>
        <w:t>，</w:t>
      </w:r>
      <w:r>
        <w:rPr>
          <w:rFonts w:ascii="仿宋_GB2312" w:eastAsia="仿宋_GB2312"/>
          <w:sz w:val="28"/>
          <w:szCs w:val="28"/>
        </w:rPr>
        <w:t>部门公用经费成本控制较好，公用经费支出均控制在预算范围内，其中：党校公用经费全年预算2263.71万元、实际支出1937.86万元</w:t>
      </w:r>
      <w:r>
        <w:rPr>
          <w:rFonts w:ascii="仿宋_GB2312" w:eastAsia="仿宋_GB2312" w:hint="eastAsia"/>
          <w:sz w:val="28"/>
          <w:szCs w:val="28"/>
        </w:rPr>
        <w:t>，</w:t>
      </w:r>
      <w:r>
        <w:rPr>
          <w:rFonts w:ascii="仿宋_GB2312" w:eastAsia="仿宋_GB2312"/>
          <w:sz w:val="28"/>
          <w:szCs w:val="28"/>
        </w:rPr>
        <w:t>占比85.61%。在委托业务方面，按照学校采购审批程序确</w:t>
      </w:r>
      <w:r>
        <w:rPr>
          <w:rFonts w:ascii="仿宋_GB2312" w:eastAsia="仿宋_GB2312" w:hint="eastAsia"/>
          <w:sz w:val="28"/>
          <w:szCs w:val="28"/>
        </w:rPr>
        <w:t>定委托合同价格，合理控制部门经费支出成本；同时，在部门预算执行过程中，有效履行预算资金审批手续，采取厉行节约措施，有效控制各项费用支出，委托业务实际经费支出严格按合同执行。综上，资金支出符合部门履职范围，基本经费及各项目支出、部门总体资金支出均控制在预算范围内，未出现超支情况，部门整体成本控制情况较好。</w:t>
      </w:r>
    </w:p>
    <w:p w:rsidR="000F2FBD" w:rsidRPr="000F58B6" w:rsidRDefault="000F2FBD" w:rsidP="000F2FBD">
      <w:pPr>
        <w:spacing w:line="360" w:lineRule="auto"/>
        <w:ind w:firstLineChars="200" w:firstLine="640"/>
        <w:rPr>
          <w:rFonts w:ascii="楷体_GB2312" w:eastAsia="楷体_GB2312"/>
          <w:sz w:val="32"/>
          <w:szCs w:val="32"/>
        </w:rPr>
      </w:pPr>
      <w:bookmarkStart w:id="13" w:name="_Toc13105"/>
      <w:bookmarkStart w:id="14" w:name="_Toc24585"/>
      <w:r w:rsidRPr="000F58B6">
        <w:rPr>
          <w:rFonts w:ascii="楷体_GB2312" w:eastAsia="楷体_GB2312"/>
          <w:sz w:val="32"/>
          <w:szCs w:val="32"/>
        </w:rPr>
        <w:t>（二）效果实现情况分析</w:t>
      </w:r>
      <w:bookmarkEnd w:id="13"/>
      <w:bookmarkEnd w:id="14"/>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sidRPr="000F58B6">
        <w:rPr>
          <w:rFonts w:ascii="仿宋_GB2312" w:eastAsia="仿宋_GB2312" w:hint="eastAsia"/>
          <w:sz w:val="28"/>
          <w:szCs w:val="28"/>
        </w:rPr>
        <w:t>1.社会效益</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提升学员理论修养、党性修养，提高政治能力和履职能力</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通过各培训班次，带领学员深入学习贯彻习近平新时代中国特色社会主义思想，学习贯彻党的二十大、十九大和十九届二中</w:t>
      </w:r>
      <w:r>
        <w:rPr>
          <w:rFonts w:ascii="仿宋_GB2312" w:eastAsia="仿宋_GB2312" w:hint="eastAsia"/>
          <w:sz w:val="28"/>
          <w:szCs w:val="28"/>
        </w:rPr>
        <w:t>、三中、四中、五中、六中全会精神，学习贯彻习近平总书记最新重要讲话精神和重要指示等相关内容。系统学习马克思列宁主义、毛泽东思想和中国特色社会主义理论体系。提高学员的理论素养，强化“四个意识”，坚定“四个自信”。开展党性教育和党</w:t>
      </w:r>
      <w:r>
        <w:rPr>
          <w:rFonts w:ascii="仿宋_GB2312" w:eastAsia="仿宋_GB2312"/>
          <w:sz w:val="28"/>
          <w:szCs w:val="28"/>
        </w:rPr>
        <w:t>性锻炼开展</w:t>
      </w:r>
      <w:r>
        <w:rPr>
          <w:rFonts w:ascii="仿宋_GB2312" w:eastAsia="仿宋_GB2312" w:hint="eastAsia"/>
          <w:sz w:val="28"/>
          <w:szCs w:val="28"/>
        </w:rPr>
        <w:lastRenderedPageBreak/>
        <w:t>“</w:t>
      </w:r>
      <w:r>
        <w:rPr>
          <w:rFonts w:ascii="仿宋_GB2312" w:eastAsia="仿宋_GB2312"/>
          <w:sz w:val="28"/>
          <w:szCs w:val="28"/>
        </w:rPr>
        <w:t>四史</w:t>
      </w:r>
      <w:r>
        <w:rPr>
          <w:rFonts w:ascii="仿宋_GB2312" w:eastAsia="仿宋_GB2312" w:hint="eastAsia"/>
          <w:sz w:val="28"/>
          <w:szCs w:val="28"/>
        </w:rPr>
        <w:t>”</w:t>
      </w:r>
      <w:r>
        <w:rPr>
          <w:rFonts w:ascii="仿宋_GB2312" w:eastAsia="仿宋_GB2312"/>
          <w:sz w:val="28"/>
          <w:szCs w:val="28"/>
        </w:rPr>
        <w:t>学习教育，增强党性修养。</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同时，推进教学改革创新，以教学改革创新驱动主体班教学高质量发展，积极推动教学形式、方法创新，有效地推动了教学管理的提升和教学质量提升。提高干部治理能力，加强综合能力和专业化能力训练，拓展世界眼光，培养战略思维，提高政治能力和履职能力。围绕市委市政府年度中心任务开展教学工作，研究京津冀协同发展与首都全面深化改革进程中的重大理论和实践问题，深入推进</w:t>
      </w:r>
      <w:r>
        <w:rPr>
          <w:rFonts w:ascii="仿宋_GB2312" w:eastAsia="仿宋_GB2312"/>
          <w:sz w:val="28"/>
          <w:szCs w:val="28"/>
        </w:rPr>
        <w:t>“</w:t>
      </w:r>
      <w:r>
        <w:rPr>
          <w:rFonts w:ascii="仿宋_GB2312" w:eastAsia="仿宋_GB2312"/>
          <w:sz w:val="28"/>
          <w:szCs w:val="28"/>
        </w:rPr>
        <w:t>用学术讲政治</w:t>
      </w:r>
      <w:r>
        <w:rPr>
          <w:rFonts w:ascii="仿宋_GB2312" w:eastAsia="仿宋_GB2312"/>
          <w:sz w:val="28"/>
          <w:szCs w:val="28"/>
        </w:rPr>
        <w:t>”</w:t>
      </w:r>
      <w:r>
        <w:rPr>
          <w:rFonts w:ascii="仿宋_GB2312" w:eastAsia="仿宋_GB2312"/>
          <w:sz w:val="28"/>
          <w:szCs w:val="28"/>
        </w:rPr>
        <w:t>教学改革，不断提高教学管理工作的科学化、规范化和精细化水平，为建设高素质专业化干部队伍提供支持。但受到新冠疫情及组织部等实际调训情况因素限制，培训班次及时长减少，每班次培训人数受到限制，教学培训的实施效果受到一定程度的影响。</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为市委、市政府提供决策咨询服务，发挥首都新型高端智库作用</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2022年教职员工成果数量有明显增长，有效提升了教职员工开展决策咨询研究的能力和水平，产出高质量决策咨询成果，充分发挥智库作用。2021年决策咨询研究项目成果的汇编成册工作，智库成果批示及采用数量排在全市智库系统第1位，为市委市政府决策提供咨询服务，提供高质量数字化应用服务，提升党校在全市高端智库中的影响力。</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同时，通过资助出版高质量科研学术著作、课题等，促进优秀科研成果产出，发挥科研项目的枢纽作用，提升教研人员的科研实力，进一步推动市委党校科研工作的发展，推进党和国家人文社科发展，政治类期刊排名保持在全国第25名，相关成果在5-10年内对社科研究发展和北京市建设发挥积极作用，有效增强本校优势专业</w:t>
      </w:r>
      <w:r>
        <w:rPr>
          <w:rFonts w:ascii="仿宋_GB2312" w:eastAsia="仿宋_GB2312"/>
          <w:sz w:val="28"/>
          <w:szCs w:val="28"/>
        </w:rPr>
        <w:lastRenderedPageBreak/>
        <w:t>学科影响力。个别评审工作、资助项目由于疫情原因推迟完成。</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消除安全隐患，保障网络安全</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通过对口字楼党性教育基地的设备进行维修，保障好口字楼设备正常运行，以满足教学使用需要。通过对OA系统的升级改造，完成各个办公OA系统的数据对接及适配，实现新操作系统的正常运行，满足教职工在新系统下的办公使用。通过完成控制箱（柜）更换、感烟探测器及感温火灾感测器的安装，有效保障学校的消防安全，消除安全隐患。</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可持续性影响</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hint="eastAsia"/>
          <w:sz w:val="28"/>
          <w:szCs w:val="28"/>
        </w:rPr>
        <w:t>（1）持续</w:t>
      </w:r>
      <w:r>
        <w:rPr>
          <w:rFonts w:ascii="仿宋_GB2312" w:eastAsia="仿宋_GB2312"/>
          <w:sz w:val="28"/>
          <w:szCs w:val="28"/>
        </w:rPr>
        <w:t>推进学科建设发展，扩大学术影响力，提高科研水平</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通过对学科建设所涉及的学科定位</w:t>
      </w:r>
      <w:r>
        <w:rPr>
          <w:rFonts w:ascii="仿宋_GB2312" w:eastAsia="仿宋_GB2312" w:hint="eastAsia"/>
          <w:sz w:val="28"/>
          <w:szCs w:val="28"/>
        </w:rPr>
        <w:t>（</w:t>
      </w:r>
      <w:r>
        <w:rPr>
          <w:rFonts w:ascii="仿宋_GB2312" w:eastAsia="仿宋_GB2312"/>
          <w:sz w:val="28"/>
          <w:szCs w:val="28"/>
        </w:rPr>
        <w:t>学科方向和发展层次</w:t>
      </w:r>
      <w:r>
        <w:rPr>
          <w:rFonts w:ascii="仿宋_GB2312" w:eastAsia="仿宋_GB2312" w:hint="eastAsia"/>
          <w:sz w:val="28"/>
          <w:szCs w:val="28"/>
        </w:rPr>
        <w:t>）</w:t>
      </w:r>
      <w:r>
        <w:rPr>
          <w:rFonts w:ascii="仿宋_GB2312" w:eastAsia="仿宋_GB2312"/>
          <w:sz w:val="28"/>
          <w:szCs w:val="28"/>
        </w:rPr>
        <w:t>、学科队伍</w:t>
      </w:r>
      <w:r>
        <w:rPr>
          <w:rFonts w:ascii="仿宋_GB2312" w:eastAsia="仿宋_GB2312" w:hint="eastAsia"/>
          <w:sz w:val="28"/>
          <w:szCs w:val="28"/>
        </w:rPr>
        <w:t>（</w:t>
      </w:r>
      <w:r>
        <w:rPr>
          <w:rFonts w:ascii="仿宋_GB2312" w:eastAsia="仿宋_GB2312"/>
          <w:sz w:val="28"/>
          <w:szCs w:val="28"/>
        </w:rPr>
        <w:t>学科带头人和学科梯队</w:t>
      </w:r>
      <w:r>
        <w:rPr>
          <w:rFonts w:ascii="仿宋_GB2312" w:eastAsia="仿宋_GB2312" w:hint="eastAsia"/>
          <w:sz w:val="28"/>
          <w:szCs w:val="28"/>
        </w:rPr>
        <w:t>）</w:t>
      </w:r>
      <w:r>
        <w:rPr>
          <w:rFonts w:ascii="仿宋_GB2312" w:eastAsia="仿宋_GB2312"/>
          <w:sz w:val="28"/>
          <w:szCs w:val="28"/>
        </w:rPr>
        <w:t>、科学研究、人才培养、学科基地</w:t>
      </w:r>
      <w:r>
        <w:rPr>
          <w:rFonts w:ascii="仿宋_GB2312" w:eastAsia="仿宋_GB2312" w:hint="eastAsia"/>
          <w:sz w:val="28"/>
          <w:szCs w:val="28"/>
        </w:rPr>
        <w:t>（</w:t>
      </w:r>
      <w:r>
        <w:rPr>
          <w:rFonts w:ascii="仿宋_GB2312" w:eastAsia="仿宋_GB2312"/>
          <w:sz w:val="28"/>
          <w:szCs w:val="28"/>
        </w:rPr>
        <w:t>中心和重点学科等</w:t>
      </w:r>
      <w:r>
        <w:rPr>
          <w:rFonts w:ascii="仿宋_GB2312" w:eastAsia="仿宋_GB2312" w:hint="eastAsia"/>
          <w:sz w:val="28"/>
          <w:szCs w:val="28"/>
        </w:rPr>
        <w:t>）</w:t>
      </w:r>
      <w:r>
        <w:rPr>
          <w:rFonts w:ascii="仿宋_GB2312" w:eastAsia="仿宋_GB2312"/>
          <w:sz w:val="28"/>
          <w:szCs w:val="28"/>
        </w:rPr>
        <w:t>、学科管理进行研究和开发，推进了党校学科建设发展，形成了既与国内外学科发展趋势相衔接又具有鲜明党校特色的学科体系。并且，通过组织43次学术讲坛、43次小型学术会议和1次京津冀协同发展研究理论研讨会，做好学术活动管理，活跃校园学术氛围，促进校内外学术交流，使教研人员了解学科发展前沿动向，加大对重大理论和现实问题的研究力度，提升校（院）学术影响力，但受疫情影响，个别研讨会推迟召开，扩大学术影响力受到一定影响。</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hint="eastAsia"/>
          <w:sz w:val="28"/>
          <w:szCs w:val="28"/>
        </w:rPr>
        <w:t>同时，严格贯彻落实学校“十四五”规划和“创建一流省级党校行动规划”，不断提高我校教研人才的科研能力和综合素</w:t>
      </w:r>
      <w:r>
        <w:rPr>
          <w:rFonts w:ascii="仿宋_GB2312" w:eastAsia="仿宋_GB2312"/>
          <w:sz w:val="28"/>
          <w:szCs w:val="28"/>
        </w:rPr>
        <w:t>质，培养储备一支适应首都现代化建设需要，具有创新能力的跨学科复合型和战略型的高层次人才队伍，进而在首都现代化建设中发挥更好的作用。</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sz w:val="28"/>
          <w:szCs w:val="28"/>
        </w:rPr>
        <w:t>持续提升党校后勤、安保服务保障能力及信息化水平</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通过卫生保洁、维修维护、餐饮服务、安保服务、消防监控值守、校园绿化养护、新能源汽车的租赁等后勤服务，学员培训和会议顺利进行</w:t>
      </w:r>
      <w:r>
        <w:rPr>
          <w:rFonts w:ascii="仿宋_GB2312" w:eastAsia="仿宋_GB2312" w:hint="eastAsia"/>
          <w:sz w:val="28"/>
          <w:szCs w:val="28"/>
        </w:rPr>
        <w:t>，</w:t>
      </w:r>
      <w:r>
        <w:rPr>
          <w:rFonts w:ascii="仿宋_GB2312" w:eastAsia="仿宋_GB2312"/>
          <w:sz w:val="28"/>
          <w:szCs w:val="28"/>
        </w:rPr>
        <w:t>党校教学、科研、决策咨询等工作安全</w:t>
      </w:r>
      <w:r>
        <w:rPr>
          <w:rFonts w:ascii="仿宋_GB2312" w:eastAsia="仿宋_GB2312" w:hint="eastAsia"/>
          <w:sz w:val="28"/>
          <w:szCs w:val="28"/>
        </w:rPr>
        <w:t>开展</w:t>
      </w:r>
      <w:r>
        <w:rPr>
          <w:rFonts w:ascii="仿宋_GB2312" w:eastAsia="仿宋_GB2312"/>
          <w:sz w:val="28"/>
          <w:szCs w:val="28"/>
        </w:rPr>
        <w:t>，维护学校正常的办公、教学秩序，满足学校用车需求，落实了疫情防控措施。学校安保、消防等24小时值守，有效保障了校园全体师生安全。</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同时，通过对研究生教育网站运行维护、购置设备及带宽链路并按时投入使用，提高信息系统的技术保障能力，防范和控制系统故障和风险，确保学校网络与信息系统的安全稳定运行，保障了日常工作的顺利开展。各项运维工作的开展，进一步提高了全校教职工的工作效率和信息化管理水平，构建与学校信息化发展相适应的网络和信息系统安全组织保障体系和技术支撑体系。同时，制作并发行图书供读者借阅，满足图书馆读者阅读需求，丰富了教职员工及研究生精神文化生活，有效维护图书馆日常运行。</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.服务对象满意度</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bookmarkStart w:id="15" w:name="_Hlk74857858"/>
      <w:r>
        <w:rPr>
          <w:rFonts w:ascii="仿宋_GB2312" w:eastAsia="仿宋_GB2312"/>
          <w:sz w:val="28"/>
          <w:szCs w:val="28"/>
        </w:rPr>
        <w:t>市委党校从师生满意度等方面设置了满意度指标，</w:t>
      </w:r>
      <w:bookmarkEnd w:id="15"/>
      <w:r>
        <w:rPr>
          <w:rFonts w:ascii="仿宋_GB2312" w:eastAsia="仿宋_GB2312"/>
          <w:sz w:val="28"/>
          <w:szCs w:val="28"/>
        </w:rPr>
        <w:t>专题班、主体班的评估结果显示，各班次学员对教师教学、班主任履职、后勤服务保障等方面教学综合评估满意度均在95分以上。但部分重点工作内容未针对全校师生等服务对象及时开展正向的满意度统计调查，缺乏可量化的满意度支撑材料。</w:t>
      </w:r>
    </w:p>
    <w:p w:rsidR="000F2FBD" w:rsidRDefault="000F2FBD" w:rsidP="000F2FBD">
      <w:pPr>
        <w:spacing w:line="600" w:lineRule="exact"/>
        <w:ind w:firstLineChars="200" w:firstLine="640"/>
        <w:rPr>
          <w:rFonts w:ascii="黑体" w:eastAsia="黑体" w:hAnsi="黑体" w:cs="宋体"/>
          <w:color w:val="000000"/>
          <w:kern w:val="0"/>
          <w:sz w:val="32"/>
          <w:szCs w:val="32"/>
        </w:rPr>
      </w:pPr>
      <w:bookmarkStart w:id="16" w:name="_Toc30048"/>
      <w:bookmarkStart w:id="17" w:name="_Toc19190"/>
      <w:r>
        <w:rPr>
          <w:rFonts w:ascii="黑体" w:eastAsia="黑体" w:hAnsi="黑体" w:cs="宋体"/>
          <w:color w:val="000000"/>
          <w:kern w:val="0"/>
          <w:sz w:val="32"/>
          <w:szCs w:val="32"/>
        </w:rPr>
        <w:t>四、预算管理情况分析</w:t>
      </w:r>
      <w:bookmarkEnd w:id="16"/>
      <w:bookmarkEnd w:id="17"/>
    </w:p>
    <w:p w:rsidR="000F2FBD" w:rsidRDefault="000F2FBD" w:rsidP="000F2FBD">
      <w:pPr>
        <w:spacing w:line="600" w:lineRule="exact"/>
        <w:ind w:firstLineChars="200" w:firstLine="640"/>
        <w:rPr>
          <w:rFonts w:ascii="楷体_GB2312" w:eastAsia="楷体_GB2312"/>
          <w:sz w:val="32"/>
          <w:szCs w:val="32"/>
        </w:rPr>
      </w:pPr>
      <w:bookmarkStart w:id="18" w:name="_Toc30181"/>
      <w:bookmarkStart w:id="19" w:name="_Toc4303"/>
      <w:r>
        <w:rPr>
          <w:rFonts w:ascii="楷体_GB2312" w:eastAsia="楷体_GB2312"/>
          <w:sz w:val="32"/>
          <w:szCs w:val="32"/>
        </w:rPr>
        <w:t>（一）财务管理</w:t>
      </w:r>
      <w:bookmarkEnd w:id="18"/>
      <w:bookmarkEnd w:id="19"/>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1.财务管理制度健全性</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根据财政部、北京市财政局（以下简</w:t>
      </w:r>
      <w:r>
        <w:rPr>
          <w:rFonts w:ascii="仿宋_GB2312" w:eastAsia="仿宋_GB2312" w:hint="eastAsia"/>
          <w:sz w:val="28"/>
          <w:szCs w:val="28"/>
        </w:rPr>
        <w:t>称“市财政局”</w:t>
      </w:r>
      <w:r>
        <w:rPr>
          <w:rFonts w:ascii="仿宋_GB2312" w:eastAsia="仿宋_GB2312"/>
          <w:sz w:val="28"/>
          <w:szCs w:val="28"/>
        </w:rPr>
        <w:t>）相关规范</w:t>
      </w:r>
      <w:r>
        <w:rPr>
          <w:rFonts w:ascii="仿宋_GB2312" w:eastAsia="仿宋_GB2312"/>
          <w:sz w:val="28"/>
          <w:szCs w:val="28"/>
        </w:rPr>
        <w:lastRenderedPageBreak/>
        <w:t>要求，为保障项目资金规范使用，结合自身特点，建立了单位内部财务、资金等管理制度，包括《中共北京市委党校（行政学院）</w:t>
      </w:r>
      <w:r>
        <w:rPr>
          <w:rFonts w:ascii="仿宋_GB2312" w:eastAsia="仿宋_GB2312" w:hint="eastAsia"/>
          <w:sz w:val="28"/>
          <w:szCs w:val="28"/>
        </w:rPr>
        <w:t>预算</w:t>
      </w:r>
      <w:r>
        <w:rPr>
          <w:rFonts w:ascii="仿宋_GB2312" w:eastAsia="仿宋_GB2312"/>
          <w:sz w:val="28"/>
          <w:szCs w:val="28"/>
        </w:rPr>
        <w:t>管理办法》《中共北京市委党校（行政学院）收支管理办法》</w:t>
      </w:r>
      <w:r>
        <w:rPr>
          <w:rFonts w:ascii="仿宋_GB2312" w:eastAsia="仿宋_GB2312" w:hint="eastAsia"/>
          <w:sz w:val="28"/>
          <w:szCs w:val="28"/>
        </w:rPr>
        <w:t>以及《校（院）财务报销手册》</w:t>
      </w:r>
      <w:r>
        <w:rPr>
          <w:rFonts w:ascii="仿宋_GB2312" w:eastAsia="仿宋_GB2312"/>
          <w:sz w:val="28"/>
          <w:szCs w:val="28"/>
        </w:rPr>
        <w:t>等，明确了单位预算管理、资产管理、内部财务管理、会计核算等方面要求。此外，为强化预算约束，加强对预算的管理监督，提高资金使用效益，2022年新制定了《中共北京市委党校（北京行政学院）项目支出绩效评价管理办法》，对绩效评价的对象及内容、组织管理与实施等方面进行了规范，项目财务管理制度较为健全，能够为项目经费使用与绩效管理提供一定的制度保障</w:t>
      </w:r>
      <w:r>
        <w:rPr>
          <w:rFonts w:ascii="仿宋_GB2312" w:eastAsia="仿宋_GB2312" w:hint="eastAsia"/>
          <w:sz w:val="28"/>
          <w:szCs w:val="28"/>
        </w:rPr>
        <w:t>，</w:t>
      </w:r>
      <w:r>
        <w:rPr>
          <w:rFonts w:ascii="仿宋_GB2312" w:eastAsia="仿宋_GB2312"/>
          <w:sz w:val="28"/>
          <w:szCs w:val="28"/>
        </w:rPr>
        <w:t>但</w:t>
      </w:r>
      <w:r>
        <w:rPr>
          <w:rFonts w:ascii="仿宋_GB2312" w:eastAsia="仿宋_GB2312" w:hint="eastAsia"/>
          <w:sz w:val="28"/>
          <w:szCs w:val="28"/>
        </w:rPr>
        <w:t>随着</w:t>
      </w:r>
      <w:r>
        <w:rPr>
          <w:rFonts w:ascii="仿宋_GB2312" w:eastAsia="仿宋_GB2312"/>
          <w:sz w:val="28"/>
          <w:szCs w:val="28"/>
        </w:rPr>
        <w:t>全面实施预算绩效管理</w:t>
      </w:r>
      <w:r>
        <w:rPr>
          <w:rFonts w:ascii="仿宋_GB2312" w:eastAsia="仿宋_GB2312" w:hint="eastAsia"/>
          <w:sz w:val="28"/>
          <w:szCs w:val="28"/>
        </w:rPr>
        <w:t>的深入和推进，</w:t>
      </w:r>
      <w:r>
        <w:rPr>
          <w:rFonts w:ascii="仿宋_GB2312" w:eastAsia="仿宋_GB2312"/>
          <w:sz w:val="28"/>
          <w:szCs w:val="28"/>
        </w:rPr>
        <w:t>绩效管理</w:t>
      </w:r>
      <w:r>
        <w:rPr>
          <w:rFonts w:ascii="仿宋_GB2312" w:eastAsia="仿宋_GB2312" w:hint="eastAsia"/>
          <w:sz w:val="28"/>
          <w:szCs w:val="28"/>
        </w:rPr>
        <w:t>体系</w:t>
      </w:r>
      <w:r>
        <w:rPr>
          <w:rFonts w:ascii="仿宋_GB2312" w:eastAsia="仿宋_GB2312"/>
          <w:sz w:val="28"/>
          <w:szCs w:val="28"/>
        </w:rPr>
        <w:t>仍</w:t>
      </w:r>
      <w:r>
        <w:rPr>
          <w:rFonts w:ascii="仿宋_GB2312" w:eastAsia="仿宋_GB2312" w:hint="eastAsia"/>
          <w:sz w:val="28"/>
          <w:szCs w:val="28"/>
        </w:rPr>
        <w:t>有进一步优化的空间</w:t>
      </w:r>
      <w:r>
        <w:rPr>
          <w:rFonts w:ascii="仿宋_GB2312" w:eastAsia="仿宋_GB2312"/>
          <w:sz w:val="28"/>
          <w:szCs w:val="28"/>
        </w:rPr>
        <w:t>。</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2.资金使用合规性和安全性</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预算资金批复后，各处室严格按照财政部、市财政局及本单位相关财务管理制度规定使用和支出资金。在资金执行过程中，财务处根据市财政局下达的预算控制数编制校（院）年度预算，对预算资金进行实时监控，严格控制资金用途，切实加强对预算资金的使用管理，并对资金执行进度实时跟踪，保证资金支付进度与工作进度相匹配。经校务委员会审议通过后，上报市财政局，经法定程序审核批复后执行。在资金支出申请与审批方面，经各处室、财务处逐级审批，单项业务1万元以下的，由归口部门负责人审批签字，数额超过1万元时，由归口部门负责人及分管校领导审批签字，单项业务100万元（含）以上的，需报校务委员会审议后执行</w:t>
      </w:r>
      <w:r>
        <w:rPr>
          <w:rFonts w:ascii="仿宋_GB2312" w:eastAsia="仿宋_GB2312" w:hint="eastAsia"/>
          <w:sz w:val="28"/>
          <w:szCs w:val="28"/>
        </w:rPr>
        <w:t>，</w:t>
      </w:r>
      <w:r>
        <w:rPr>
          <w:rFonts w:ascii="仿宋_GB2312" w:eastAsia="仿宋_GB2312"/>
          <w:sz w:val="28"/>
          <w:szCs w:val="28"/>
        </w:rPr>
        <w:t>确保资金使用合理、规范，支出申请审批程序合规。</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3.会计基础信息完善性</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注重会计基础信息和会计信息资料的真实性、准确性、完整性</w:t>
      </w:r>
      <w:r>
        <w:rPr>
          <w:rFonts w:ascii="仿宋_GB2312" w:eastAsia="仿宋_GB2312"/>
          <w:sz w:val="28"/>
          <w:szCs w:val="28"/>
        </w:rPr>
        <w:lastRenderedPageBreak/>
        <w:t>管理，发生资金收入、支出后及时登记入账，会计凭证及其附件资料已按时装订成册并由专人保管。</w:t>
      </w:r>
    </w:p>
    <w:p w:rsidR="000F2FBD" w:rsidRDefault="000F2FBD" w:rsidP="000F2FBD">
      <w:pPr>
        <w:spacing w:line="600" w:lineRule="exact"/>
        <w:ind w:firstLineChars="200" w:firstLine="640"/>
        <w:rPr>
          <w:rFonts w:ascii="楷体_GB2312" w:eastAsia="楷体_GB2312"/>
          <w:sz w:val="32"/>
          <w:szCs w:val="32"/>
        </w:rPr>
      </w:pPr>
      <w:bookmarkStart w:id="20" w:name="_Toc250"/>
      <w:bookmarkStart w:id="21" w:name="_Toc32557"/>
      <w:r>
        <w:rPr>
          <w:rFonts w:ascii="楷体_GB2312" w:eastAsia="楷体_GB2312"/>
          <w:sz w:val="32"/>
          <w:szCs w:val="32"/>
        </w:rPr>
        <w:t>（二）资产管理</w:t>
      </w:r>
      <w:bookmarkEnd w:id="20"/>
      <w:bookmarkEnd w:id="21"/>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为规范和加强固定资产管理，提高资产使用效益，</w:t>
      </w:r>
      <w:r>
        <w:rPr>
          <w:rFonts w:ascii="仿宋_GB2312" w:eastAsia="仿宋_GB2312" w:hint="eastAsia"/>
          <w:sz w:val="28"/>
          <w:szCs w:val="28"/>
        </w:rPr>
        <w:t>我</w:t>
      </w:r>
      <w:r>
        <w:rPr>
          <w:rFonts w:ascii="仿宋_GB2312" w:eastAsia="仿宋_GB2312"/>
          <w:sz w:val="28"/>
          <w:szCs w:val="28"/>
        </w:rPr>
        <w:t>校在遵循《北京市市级行政事业单位国有资产配置管理办法》（京财资产〔2015〕129号）等文件要求的基础上，进一步编制了符合自身情况的《中共北京市委党校</w:t>
      </w:r>
      <w:r>
        <w:rPr>
          <w:rFonts w:ascii="仿宋_GB2312" w:eastAsia="仿宋_GB2312" w:hint="eastAsia"/>
          <w:sz w:val="28"/>
          <w:szCs w:val="28"/>
        </w:rPr>
        <w:t>（</w:t>
      </w:r>
      <w:r>
        <w:rPr>
          <w:rFonts w:ascii="仿宋_GB2312" w:eastAsia="仿宋_GB2312"/>
          <w:sz w:val="28"/>
          <w:szCs w:val="28"/>
        </w:rPr>
        <w:t>北京行政学院</w:t>
      </w:r>
      <w:r>
        <w:rPr>
          <w:rFonts w:ascii="仿宋_GB2312" w:eastAsia="仿宋_GB2312" w:hint="eastAsia"/>
          <w:sz w:val="28"/>
          <w:szCs w:val="28"/>
        </w:rPr>
        <w:t>）</w:t>
      </w:r>
      <w:r>
        <w:rPr>
          <w:rFonts w:ascii="仿宋_GB2312" w:eastAsia="仿宋_GB2312"/>
          <w:sz w:val="28"/>
          <w:szCs w:val="28"/>
        </w:rPr>
        <w:t>办公室关于印发&lt;中共北京市委党校</w:t>
      </w:r>
      <w:r>
        <w:rPr>
          <w:rFonts w:ascii="仿宋_GB2312" w:eastAsia="仿宋_GB2312" w:hint="eastAsia"/>
          <w:sz w:val="28"/>
          <w:szCs w:val="28"/>
        </w:rPr>
        <w:t>（</w:t>
      </w:r>
      <w:r>
        <w:rPr>
          <w:rFonts w:ascii="仿宋_GB2312" w:eastAsia="仿宋_GB2312"/>
          <w:sz w:val="28"/>
          <w:szCs w:val="28"/>
        </w:rPr>
        <w:t>北京行政学院</w:t>
      </w:r>
      <w:r>
        <w:rPr>
          <w:rFonts w:ascii="仿宋_GB2312" w:eastAsia="仿宋_GB2312" w:hint="eastAsia"/>
          <w:sz w:val="28"/>
          <w:szCs w:val="28"/>
        </w:rPr>
        <w:t>）</w:t>
      </w:r>
      <w:r>
        <w:rPr>
          <w:rFonts w:ascii="仿宋_GB2312" w:eastAsia="仿宋_GB2312"/>
          <w:sz w:val="28"/>
          <w:szCs w:val="28"/>
        </w:rPr>
        <w:t>固定资产管理暂行办法&gt;的通知》（京校办发〔2021〕20号），秉承</w:t>
      </w:r>
      <w:r>
        <w:rPr>
          <w:rFonts w:ascii="仿宋_GB2312" w:eastAsia="仿宋_GB2312" w:hint="eastAsia"/>
          <w:sz w:val="28"/>
          <w:szCs w:val="28"/>
        </w:rPr>
        <w:t>“从严配置、规范使用、调剂共享、厉行节约”的原则对固定资产进行管理。</w:t>
      </w:r>
      <w:r>
        <w:rPr>
          <w:rFonts w:ascii="仿宋_GB2312" w:eastAsia="仿宋_GB2312"/>
          <w:sz w:val="28"/>
          <w:szCs w:val="28"/>
        </w:rPr>
        <w:t>在实际管理过程中，为保障固定资产安全、完整、产权清晰，设置了固定资产台账，反映相关资产名称、数量、面积、价值、取得方式、财务入账日期、使用状况及使用部门等信息。2022年</w:t>
      </w:r>
      <w:r>
        <w:rPr>
          <w:rFonts w:ascii="仿宋_GB2312" w:eastAsia="仿宋_GB2312" w:hint="eastAsia"/>
          <w:sz w:val="28"/>
          <w:szCs w:val="28"/>
        </w:rPr>
        <w:t>我</w:t>
      </w:r>
      <w:r>
        <w:rPr>
          <w:rFonts w:ascii="仿宋_GB2312" w:eastAsia="仿宋_GB2312"/>
          <w:sz w:val="28"/>
          <w:szCs w:val="28"/>
        </w:rPr>
        <w:t>校组织各处室通过资产信息系统对部门固定资产进行了全面清查，资产使用和管理规范。</w:t>
      </w:r>
    </w:p>
    <w:p w:rsidR="000F2FBD" w:rsidRDefault="000F2FBD" w:rsidP="000F2FBD">
      <w:pPr>
        <w:spacing w:line="600" w:lineRule="exact"/>
        <w:ind w:firstLineChars="200" w:firstLine="640"/>
        <w:rPr>
          <w:rFonts w:ascii="楷体_GB2312" w:eastAsia="楷体_GB2312"/>
          <w:sz w:val="32"/>
          <w:szCs w:val="32"/>
        </w:rPr>
      </w:pPr>
      <w:bookmarkStart w:id="22" w:name="_Toc7553"/>
      <w:bookmarkStart w:id="23" w:name="_Toc28612"/>
      <w:r>
        <w:rPr>
          <w:rFonts w:ascii="楷体_GB2312" w:eastAsia="楷体_GB2312"/>
          <w:sz w:val="32"/>
          <w:szCs w:val="32"/>
        </w:rPr>
        <w:t>（三）绩效管理</w:t>
      </w:r>
      <w:bookmarkEnd w:id="22"/>
      <w:bookmarkEnd w:id="23"/>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为进一步推进财政科学化、精细化管理，提高资金使用效率，保证预算资金分配决策的科学性、公开性和公正性，切实提高单位预算绩效管理水平，成立</w:t>
      </w:r>
      <w:r>
        <w:rPr>
          <w:rFonts w:ascii="仿宋_GB2312" w:eastAsia="仿宋_GB2312" w:hint="eastAsia"/>
          <w:sz w:val="28"/>
          <w:szCs w:val="28"/>
        </w:rPr>
        <w:t>了</w:t>
      </w:r>
      <w:r>
        <w:rPr>
          <w:rFonts w:ascii="仿宋_GB2312" w:eastAsia="仿宋_GB2312"/>
          <w:sz w:val="28"/>
          <w:szCs w:val="28"/>
        </w:rPr>
        <w:t>绩效管理工作小组，成员由财务处、各部门负责人组成，负责组织开展全年绩效管理工作，包括绩效自评、绩效监控、成本绩效分析、事前评估等工作，及时发现预算绩效管理工作存在的问题并提出合理化建议。预算绩效管理主要落实以下几项工作：</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（1）2022年4月，根据《北京市项目支出绩效评价管理办法》（京财绩效〔2020〕2146号）规定，对2021年度重点项目</w:t>
      </w:r>
      <w:r>
        <w:rPr>
          <w:rFonts w:ascii="仿宋_GB2312" w:eastAsia="仿宋_GB2312" w:hint="eastAsia"/>
          <w:sz w:val="28"/>
          <w:szCs w:val="28"/>
        </w:rPr>
        <w:t>——“党校教学保障项目”“等保、安全、软件测评费”项目开展部门评价，</w:t>
      </w:r>
      <w:r>
        <w:rPr>
          <w:rFonts w:ascii="仿宋_GB2312" w:eastAsia="仿宋_GB2312" w:hint="eastAsia"/>
          <w:sz w:val="28"/>
          <w:szCs w:val="28"/>
        </w:rPr>
        <w:lastRenderedPageBreak/>
        <w:t>同时，对“党校教学培训项目”“基层党校业务指导费”“教学保障软硬件及资源更新升级”</w:t>
      </w:r>
      <w:r>
        <w:rPr>
          <w:rFonts w:ascii="仿宋_GB2312" w:eastAsia="仿宋_GB2312"/>
          <w:sz w:val="28"/>
          <w:szCs w:val="28"/>
        </w:rPr>
        <w:t>等54个项目实施了单位自评工作，评价项目占年初预算公开项目数量的98.18%（个别公开项目为涉密项目未参与评价）。</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（2）2022年8月，根据《北京市市级部门预算绩效运行监控管理办法》（京财绩效〔2020〕2034号）规定，对202</w:t>
      </w:r>
      <w:r>
        <w:rPr>
          <w:rFonts w:ascii="仿宋_GB2312" w:eastAsia="仿宋_GB2312" w:hint="eastAsia"/>
          <w:sz w:val="28"/>
          <w:szCs w:val="28"/>
        </w:rPr>
        <w:t>2</w:t>
      </w:r>
      <w:r>
        <w:rPr>
          <w:rFonts w:ascii="仿宋_GB2312" w:eastAsia="仿宋_GB2312"/>
          <w:sz w:val="28"/>
          <w:szCs w:val="28"/>
        </w:rPr>
        <w:t>年度</w:t>
      </w:r>
      <w:r>
        <w:rPr>
          <w:rFonts w:ascii="仿宋_GB2312" w:eastAsia="仿宋_GB2312" w:hint="eastAsia"/>
          <w:sz w:val="28"/>
          <w:szCs w:val="28"/>
        </w:rPr>
        <w:t>“党校教学培训项目”“基层党校业务指导费”“决策咨询项目”“科研项目经费”</w:t>
      </w:r>
      <w:r>
        <w:rPr>
          <w:rFonts w:ascii="仿宋_GB2312" w:eastAsia="仿宋_GB2312"/>
          <w:sz w:val="28"/>
          <w:szCs w:val="28"/>
        </w:rPr>
        <w:t>等37个项目实施了绩效运行监控工作，绩效运行监控项目占年初预算公开项目数量的97.37%（个别项目受疫情影响取消未进行绩效运行监控）。</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（3）2022年9月，根据《北京市市级财政支出成本预算绩效分析操作流程》（京财绩效〔2020〕893号）规定，对</w:t>
      </w:r>
      <w:r>
        <w:rPr>
          <w:rFonts w:ascii="仿宋_GB2312" w:eastAsia="仿宋_GB2312" w:hint="eastAsia"/>
          <w:sz w:val="28"/>
          <w:szCs w:val="28"/>
        </w:rPr>
        <w:t>“图书馆数字资源建设项目”项目开展了成本绩效分析工作。通过收集、梳理近三年项目预算及支出数据、实施成效等相关材料，分析影响项目支出成本的主要要素，确定单项成本定额标准</w:t>
      </w:r>
      <w:r>
        <w:rPr>
          <w:rFonts w:ascii="仿宋_GB2312" w:eastAsia="仿宋_GB2312"/>
          <w:sz w:val="28"/>
          <w:szCs w:val="28"/>
        </w:rPr>
        <w:t>。</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（4）2022年12月，根据《北京市财政局关于印发&lt;北京市市级财政支出事前绩效评估管理办法&gt;的通知》（京财绩效〔2021〕1837号）规定，对202</w:t>
      </w:r>
      <w:r>
        <w:rPr>
          <w:rFonts w:ascii="仿宋_GB2312" w:eastAsia="仿宋_GB2312" w:hint="eastAsia"/>
          <w:sz w:val="28"/>
          <w:szCs w:val="28"/>
        </w:rPr>
        <w:t>3</w:t>
      </w:r>
      <w:r>
        <w:rPr>
          <w:rFonts w:ascii="仿宋_GB2312" w:eastAsia="仿宋_GB2312"/>
          <w:sz w:val="28"/>
          <w:szCs w:val="28"/>
        </w:rPr>
        <w:t>年度</w:t>
      </w:r>
      <w:r>
        <w:rPr>
          <w:rFonts w:ascii="仿宋_GB2312" w:eastAsia="仿宋_GB2312" w:hint="eastAsia"/>
          <w:sz w:val="28"/>
          <w:szCs w:val="28"/>
        </w:rPr>
        <w:t>“</w:t>
      </w:r>
      <w:r>
        <w:rPr>
          <w:rFonts w:ascii="仿宋_GB2312" w:eastAsia="仿宋_GB2312"/>
          <w:sz w:val="28"/>
          <w:szCs w:val="28"/>
        </w:rPr>
        <w:t>口子楼教室多媒体建设</w:t>
      </w:r>
      <w:r>
        <w:rPr>
          <w:rFonts w:ascii="仿宋_GB2312" w:eastAsia="仿宋_GB2312" w:hint="eastAsia"/>
          <w:sz w:val="28"/>
          <w:szCs w:val="28"/>
        </w:rPr>
        <w:t>”“</w:t>
      </w:r>
      <w:r>
        <w:rPr>
          <w:rFonts w:ascii="仿宋_GB2312" w:eastAsia="仿宋_GB2312"/>
          <w:sz w:val="28"/>
          <w:szCs w:val="28"/>
        </w:rPr>
        <w:t>校园网站升级改造</w:t>
      </w:r>
      <w:r>
        <w:rPr>
          <w:rFonts w:ascii="仿宋_GB2312" w:eastAsia="仿宋_GB2312" w:hint="eastAsia"/>
          <w:sz w:val="28"/>
          <w:szCs w:val="28"/>
        </w:rPr>
        <w:t>”</w:t>
      </w:r>
      <w:r>
        <w:rPr>
          <w:rFonts w:ascii="仿宋_GB2312" w:eastAsia="仿宋_GB2312"/>
          <w:sz w:val="28"/>
          <w:szCs w:val="28"/>
        </w:rPr>
        <w:t>等8个项目开展了事前绩效评估工作，从项目立项必要性、项目可行性、项目经济性、项目效率性、项目效益性等方面进行了重点评估，并提出具体建议。</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hint="eastAsia"/>
          <w:sz w:val="28"/>
          <w:szCs w:val="28"/>
        </w:rPr>
        <w:t>但绩效目标管理有待进一步完善，部分项目支出绩效目标申报表填报质量有待提高。一是绩效指标设置细化、量化程度不足，如党校互联网接入费项目的时效指标设置为“2022年12月底前完成合同签订”，时效指标不够细化，指标约束力度有待进一步加强；新</w:t>
      </w:r>
      <w:r>
        <w:rPr>
          <w:rFonts w:ascii="仿宋_GB2312" w:eastAsia="仿宋_GB2312" w:hint="eastAsia"/>
          <w:sz w:val="28"/>
          <w:szCs w:val="28"/>
        </w:rPr>
        <w:lastRenderedPageBreak/>
        <w:t>能源汽车租赁费等部分项目效益指标设置较为宽泛，为定性描述，效果情况难以量化考核。二是绩效指标归口错误，如山字楼教室多媒体建设项目社会效益指标错误的设为质量指标。</w:t>
      </w:r>
    </w:p>
    <w:p w:rsidR="000F2FBD" w:rsidRDefault="000F2FBD" w:rsidP="000F2FBD">
      <w:pPr>
        <w:spacing w:line="600" w:lineRule="exact"/>
        <w:ind w:firstLineChars="200" w:firstLine="640"/>
        <w:rPr>
          <w:rFonts w:ascii="楷体_GB2312" w:eastAsia="楷体_GB2312"/>
          <w:sz w:val="32"/>
          <w:szCs w:val="32"/>
        </w:rPr>
      </w:pPr>
      <w:bookmarkStart w:id="24" w:name="_Toc27452"/>
      <w:bookmarkStart w:id="25" w:name="_Toc17395"/>
      <w:bookmarkStart w:id="26" w:name="_Toc6192"/>
      <w:r>
        <w:rPr>
          <w:rFonts w:ascii="楷体_GB2312" w:eastAsia="楷体_GB2312"/>
          <w:sz w:val="32"/>
          <w:szCs w:val="32"/>
        </w:rPr>
        <w:t>（四）结转结余率</w:t>
      </w:r>
      <w:bookmarkEnd w:id="24"/>
      <w:bookmarkEnd w:id="25"/>
      <w:bookmarkEnd w:id="26"/>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2022年市委党校年末结转结余资金为4943.43万元，全年支出预算为32280.57万元，资金结转结余率为15.31%；2021年市委党校年末结转结余资金为5920.4</w:t>
      </w:r>
      <w:r>
        <w:rPr>
          <w:rFonts w:ascii="仿宋_GB2312" w:eastAsia="仿宋_GB2312" w:hint="eastAsia"/>
          <w:sz w:val="28"/>
          <w:szCs w:val="28"/>
        </w:rPr>
        <w:t>6</w:t>
      </w:r>
      <w:r>
        <w:rPr>
          <w:rFonts w:ascii="仿宋_GB2312" w:eastAsia="仿宋_GB2312"/>
          <w:sz w:val="28"/>
          <w:szCs w:val="28"/>
        </w:rPr>
        <w:t>万元，全年支出预算为36529.37万元，资金结转结余率为16.21%。2022年资金结转结余率低于2021年市委党校资金结转结余率，年度资金结转结余控制情况得到提升。</w:t>
      </w:r>
      <w:bookmarkStart w:id="27" w:name="_Toc10256"/>
      <w:bookmarkStart w:id="28" w:name="_Toc26753"/>
    </w:p>
    <w:p w:rsidR="000F2FBD" w:rsidRDefault="000F2FBD" w:rsidP="000F2FBD">
      <w:pPr>
        <w:spacing w:line="600" w:lineRule="exact"/>
        <w:ind w:firstLineChars="200" w:firstLine="640"/>
        <w:rPr>
          <w:rFonts w:ascii="楷体_GB2312" w:eastAsia="楷体_GB2312"/>
          <w:sz w:val="32"/>
          <w:szCs w:val="32"/>
        </w:rPr>
      </w:pPr>
      <w:bookmarkStart w:id="29" w:name="_Toc31873"/>
      <w:r>
        <w:rPr>
          <w:rFonts w:ascii="楷体_GB2312" w:eastAsia="楷体_GB2312"/>
          <w:sz w:val="32"/>
          <w:szCs w:val="32"/>
        </w:rPr>
        <w:t>（五）部门预决算差异率</w:t>
      </w:r>
      <w:bookmarkEnd w:id="27"/>
      <w:bookmarkEnd w:id="28"/>
      <w:bookmarkEnd w:id="29"/>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2022年市委党校年初预算为31561.09万元，部门年度决算为27343.47万元，部门预决算差异率为13.36%。</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综上，市委党校预决算差异率低于市级平均差异率（28.30%），</w:t>
      </w:r>
      <w:proofErr w:type="spellStart"/>
      <w:r>
        <w:rPr>
          <w:rFonts w:ascii="仿宋_GB2312" w:eastAsia="仿宋_GB2312"/>
          <w:sz w:val="28"/>
          <w:szCs w:val="28"/>
        </w:rPr>
        <w:t>部门预决算差异率均控制情况较好</w:t>
      </w:r>
      <w:proofErr w:type="spellEnd"/>
      <w:r>
        <w:rPr>
          <w:rFonts w:ascii="仿宋_GB2312" w:eastAsia="仿宋_GB2312"/>
          <w:sz w:val="28"/>
          <w:szCs w:val="28"/>
        </w:rPr>
        <w:t>。</w:t>
      </w:r>
    </w:p>
    <w:p w:rsidR="000F2FBD" w:rsidRDefault="000F2FBD" w:rsidP="000F2FBD">
      <w:pPr>
        <w:spacing w:line="600" w:lineRule="exact"/>
        <w:ind w:firstLineChars="200" w:firstLine="640"/>
        <w:rPr>
          <w:rFonts w:ascii="黑体" w:eastAsia="黑体" w:hAnsi="黑体" w:cs="宋体"/>
          <w:color w:val="000000"/>
          <w:kern w:val="0"/>
          <w:sz w:val="32"/>
          <w:szCs w:val="32"/>
        </w:rPr>
      </w:pPr>
      <w:bookmarkStart w:id="30" w:name="_Toc32406"/>
      <w:bookmarkStart w:id="31" w:name="_Toc25346"/>
      <w:r>
        <w:rPr>
          <w:rFonts w:ascii="黑体" w:eastAsia="黑体" w:hAnsi="黑体" w:cs="宋体"/>
          <w:color w:val="000000"/>
          <w:kern w:val="0"/>
          <w:sz w:val="32"/>
          <w:szCs w:val="32"/>
        </w:rPr>
        <w:t>五、总体评价结论</w:t>
      </w:r>
      <w:bookmarkEnd w:id="30"/>
      <w:bookmarkEnd w:id="31"/>
    </w:p>
    <w:p w:rsidR="000F2FBD" w:rsidRDefault="000F2FBD" w:rsidP="000F2FBD">
      <w:pPr>
        <w:spacing w:line="600" w:lineRule="exact"/>
        <w:ind w:firstLineChars="200" w:firstLine="640"/>
        <w:rPr>
          <w:rFonts w:ascii="楷体_GB2312" w:eastAsia="楷体_GB2312"/>
          <w:sz w:val="32"/>
          <w:szCs w:val="32"/>
        </w:rPr>
      </w:pPr>
      <w:bookmarkStart w:id="32" w:name="_Toc9927"/>
      <w:bookmarkStart w:id="33" w:name="_Toc19862"/>
      <w:bookmarkStart w:id="34" w:name="_Toc6293"/>
      <w:r>
        <w:rPr>
          <w:rFonts w:ascii="楷体_GB2312" w:eastAsia="楷体_GB2312"/>
          <w:sz w:val="32"/>
          <w:szCs w:val="32"/>
        </w:rPr>
        <w:t>（一）评价得分情况</w:t>
      </w:r>
      <w:bookmarkEnd w:id="32"/>
      <w:bookmarkEnd w:id="33"/>
      <w:bookmarkEnd w:id="34"/>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2022年度市委党校部门整体绩效评价得分为90.</w:t>
      </w:r>
      <w:r>
        <w:rPr>
          <w:rFonts w:ascii="仿宋_GB2312" w:eastAsia="仿宋_GB2312" w:hint="eastAsia"/>
          <w:sz w:val="28"/>
          <w:szCs w:val="28"/>
        </w:rPr>
        <w:t>61</w:t>
      </w:r>
      <w:r>
        <w:rPr>
          <w:rFonts w:ascii="仿宋_GB2312" w:eastAsia="仿宋_GB2312"/>
          <w:sz w:val="28"/>
          <w:szCs w:val="28"/>
        </w:rPr>
        <w:t>分，综合评价等级为</w:t>
      </w:r>
      <w:r>
        <w:rPr>
          <w:rFonts w:ascii="仿宋_GB2312" w:eastAsia="仿宋_GB2312"/>
          <w:sz w:val="28"/>
          <w:szCs w:val="28"/>
        </w:rPr>
        <w:t>“</w:t>
      </w:r>
      <w:r>
        <w:rPr>
          <w:rFonts w:ascii="仿宋_GB2312" w:eastAsia="仿宋_GB2312"/>
          <w:sz w:val="28"/>
          <w:szCs w:val="28"/>
        </w:rPr>
        <w:t>优</w:t>
      </w:r>
      <w:r>
        <w:rPr>
          <w:rFonts w:ascii="仿宋_GB2312" w:eastAsia="仿宋_GB2312"/>
          <w:sz w:val="28"/>
          <w:szCs w:val="28"/>
        </w:rPr>
        <w:t>”</w:t>
      </w:r>
      <w:r>
        <w:rPr>
          <w:rFonts w:ascii="仿宋_GB2312" w:eastAsia="仿宋_GB2312"/>
          <w:sz w:val="28"/>
          <w:szCs w:val="28"/>
        </w:rPr>
        <w:t>，</w:t>
      </w:r>
      <w:proofErr w:type="spellStart"/>
      <w:r>
        <w:rPr>
          <w:rFonts w:ascii="仿宋_GB2312" w:eastAsia="仿宋_GB2312"/>
          <w:sz w:val="28"/>
          <w:szCs w:val="28"/>
        </w:rPr>
        <w:t>各一级指标得分情况如下</w:t>
      </w:r>
      <w:proofErr w:type="spellEnd"/>
      <w:r>
        <w:rPr>
          <w:rFonts w:ascii="仿宋_GB2312" w:eastAsia="仿宋_GB2312"/>
          <w:sz w:val="28"/>
          <w:szCs w:val="28"/>
        </w:rPr>
        <w:t>：</w:t>
      </w:r>
    </w:p>
    <w:p w:rsidR="000F2FBD" w:rsidRDefault="000F2FBD" w:rsidP="000F2FBD">
      <w:pPr>
        <w:pStyle w:val="a4"/>
      </w:pPr>
    </w:p>
    <w:p w:rsidR="000F2FBD" w:rsidRDefault="000F2FBD" w:rsidP="000F2FBD">
      <w:pPr>
        <w:adjustRightInd w:val="0"/>
        <w:snapToGrid w:val="0"/>
        <w:spacing w:line="360" w:lineRule="auto"/>
        <w:jc w:val="center"/>
        <w:rPr>
          <w:rFonts w:eastAsia="黑体"/>
          <w:sz w:val="28"/>
          <w:szCs w:val="28"/>
        </w:rPr>
      </w:pPr>
      <w:r>
        <w:rPr>
          <w:rFonts w:eastAsia="黑体"/>
          <w:sz w:val="28"/>
          <w:szCs w:val="28"/>
        </w:rPr>
        <w:t>表</w:t>
      </w:r>
      <w:r>
        <w:rPr>
          <w:rFonts w:eastAsia="黑体"/>
          <w:sz w:val="28"/>
          <w:szCs w:val="28"/>
        </w:rPr>
        <w:t>3</w:t>
      </w:r>
      <w:r>
        <w:rPr>
          <w:rFonts w:eastAsia="黑体"/>
          <w:sz w:val="28"/>
          <w:szCs w:val="28"/>
        </w:rPr>
        <w:t>：</w:t>
      </w:r>
      <w:r>
        <w:rPr>
          <w:rFonts w:eastAsia="黑体"/>
          <w:sz w:val="28"/>
          <w:szCs w:val="28"/>
        </w:rPr>
        <w:t>2022</w:t>
      </w:r>
      <w:r>
        <w:rPr>
          <w:rFonts w:eastAsia="黑体"/>
          <w:sz w:val="28"/>
          <w:szCs w:val="28"/>
        </w:rPr>
        <w:t>年部门整体绩效得分情况表</w:t>
      </w:r>
    </w:p>
    <w:p w:rsidR="000F2FBD" w:rsidRDefault="000F2FBD" w:rsidP="000F2FBD">
      <w:pPr>
        <w:pStyle w:val="a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gridCol w:w="1881"/>
        <w:gridCol w:w="2073"/>
        <w:gridCol w:w="2073"/>
      </w:tblGrid>
      <w:tr w:rsidR="000F2FBD" w:rsidTr="001F6B1A">
        <w:trPr>
          <w:trHeight w:val="510"/>
          <w:tblHeader/>
          <w:jc w:val="center"/>
        </w:trPr>
        <w:tc>
          <w:tcPr>
            <w:tcW w:w="2263" w:type="dxa"/>
            <w:vAlign w:val="center"/>
          </w:tcPr>
          <w:p w:rsidR="000F2FBD" w:rsidRDefault="000F2FBD" w:rsidP="001F6B1A">
            <w:pPr>
              <w:adjustRightInd w:val="0"/>
              <w:snapToGrid w:val="0"/>
              <w:jc w:val="center"/>
              <w:rPr>
                <w:b/>
                <w:bCs/>
                <w:sz w:val="20"/>
                <w:szCs w:val="20"/>
              </w:rPr>
            </w:pPr>
            <w:r>
              <w:rPr>
                <w:b/>
                <w:bCs/>
                <w:sz w:val="20"/>
                <w:szCs w:val="20"/>
              </w:rPr>
              <w:t>一级指标</w:t>
            </w:r>
          </w:p>
        </w:tc>
        <w:tc>
          <w:tcPr>
            <w:tcW w:w="1881" w:type="dxa"/>
            <w:vAlign w:val="center"/>
          </w:tcPr>
          <w:p w:rsidR="000F2FBD" w:rsidRDefault="000F2FBD" w:rsidP="001F6B1A">
            <w:pPr>
              <w:adjustRightInd w:val="0"/>
              <w:snapToGrid w:val="0"/>
              <w:jc w:val="center"/>
              <w:rPr>
                <w:b/>
                <w:bCs/>
                <w:sz w:val="20"/>
                <w:szCs w:val="20"/>
              </w:rPr>
            </w:pPr>
            <w:r>
              <w:rPr>
                <w:b/>
                <w:bCs/>
                <w:sz w:val="20"/>
                <w:szCs w:val="20"/>
              </w:rPr>
              <w:t>分值</w:t>
            </w:r>
          </w:p>
        </w:tc>
        <w:tc>
          <w:tcPr>
            <w:tcW w:w="2073" w:type="dxa"/>
            <w:vAlign w:val="center"/>
          </w:tcPr>
          <w:p w:rsidR="000F2FBD" w:rsidRDefault="000F2FBD" w:rsidP="001F6B1A">
            <w:pPr>
              <w:adjustRightInd w:val="0"/>
              <w:snapToGrid w:val="0"/>
              <w:jc w:val="center"/>
              <w:rPr>
                <w:b/>
                <w:bCs/>
                <w:sz w:val="20"/>
                <w:szCs w:val="20"/>
              </w:rPr>
            </w:pPr>
            <w:r>
              <w:rPr>
                <w:b/>
                <w:bCs/>
                <w:sz w:val="20"/>
                <w:szCs w:val="20"/>
              </w:rPr>
              <w:t>得分</w:t>
            </w:r>
          </w:p>
        </w:tc>
        <w:tc>
          <w:tcPr>
            <w:tcW w:w="2073" w:type="dxa"/>
            <w:vAlign w:val="center"/>
          </w:tcPr>
          <w:p w:rsidR="000F2FBD" w:rsidRDefault="000F2FBD" w:rsidP="001F6B1A">
            <w:pPr>
              <w:adjustRightInd w:val="0"/>
              <w:snapToGrid w:val="0"/>
              <w:jc w:val="center"/>
              <w:rPr>
                <w:b/>
                <w:bCs/>
                <w:sz w:val="20"/>
                <w:szCs w:val="20"/>
              </w:rPr>
            </w:pPr>
            <w:r>
              <w:rPr>
                <w:b/>
                <w:bCs/>
                <w:sz w:val="20"/>
                <w:szCs w:val="20"/>
              </w:rPr>
              <w:t>得分率</w:t>
            </w:r>
          </w:p>
        </w:tc>
      </w:tr>
      <w:tr w:rsidR="000F2FBD" w:rsidTr="001F6B1A">
        <w:trPr>
          <w:trHeight w:val="482"/>
          <w:jc w:val="center"/>
        </w:trPr>
        <w:tc>
          <w:tcPr>
            <w:tcW w:w="2263" w:type="dxa"/>
            <w:vAlign w:val="center"/>
          </w:tcPr>
          <w:p w:rsidR="000F2FBD" w:rsidRDefault="000F2FBD" w:rsidP="001F6B1A">
            <w:pPr>
              <w:adjustRightInd w:val="0"/>
              <w:snapToGrid w:val="0"/>
              <w:jc w:val="center"/>
              <w:rPr>
                <w:sz w:val="20"/>
                <w:szCs w:val="20"/>
              </w:rPr>
            </w:pPr>
            <w:r>
              <w:rPr>
                <w:sz w:val="20"/>
                <w:szCs w:val="20"/>
              </w:rPr>
              <w:t>当年预算执行情况</w:t>
            </w:r>
          </w:p>
        </w:tc>
        <w:tc>
          <w:tcPr>
            <w:tcW w:w="1881" w:type="dxa"/>
            <w:vAlign w:val="center"/>
          </w:tcPr>
          <w:p w:rsidR="000F2FBD" w:rsidRDefault="000F2FBD" w:rsidP="001F6B1A">
            <w:pPr>
              <w:adjustRightInd w:val="0"/>
              <w:snapToGrid w:val="0"/>
              <w:jc w:val="center"/>
              <w:rPr>
                <w:sz w:val="20"/>
                <w:szCs w:val="20"/>
              </w:rPr>
            </w:pPr>
            <w:r>
              <w:rPr>
                <w:sz w:val="20"/>
                <w:szCs w:val="20"/>
              </w:rPr>
              <w:t>20</w:t>
            </w:r>
          </w:p>
        </w:tc>
        <w:tc>
          <w:tcPr>
            <w:tcW w:w="2073" w:type="dxa"/>
            <w:vAlign w:val="center"/>
          </w:tcPr>
          <w:p w:rsidR="000F2FBD" w:rsidRDefault="000F2FBD" w:rsidP="001F6B1A">
            <w:pPr>
              <w:widowControl/>
              <w:adjustRightInd w:val="0"/>
              <w:snapToGrid w:val="0"/>
              <w:jc w:val="center"/>
              <w:textAlignment w:val="center"/>
              <w:rPr>
                <w:color w:val="000000"/>
                <w:sz w:val="20"/>
                <w:szCs w:val="20"/>
              </w:rPr>
            </w:pPr>
            <w:r>
              <w:rPr>
                <w:color w:val="000000"/>
                <w:kern w:val="0"/>
                <w:sz w:val="20"/>
                <w:szCs w:val="20"/>
                <w:lang/>
              </w:rPr>
              <w:t>16.94</w:t>
            </w:r>
          </w:p>
        </w:tc>
        <w:tc>
          <w:tcPr>
            <w:tcW w:w="2073" w:type="dxa"/>
            <w:vAlign w:val="center"/>
          </w:tcPr>
          <w:p w:rsidR="000F2FBD" w:rsidRDefault="000F2FBD" w:rsidP="001F6B1A">
            <w:pPr>
              <w:widowControl/>
              <w:adjustRightInd w:val="0"/>
              <w:snapToGrid w:val="0"/>
              <w:jc w:val="center"/>
              <w:textAlignment w:val="center"/>
              <w:rPr>
                <w:sz w:val="20"/>
                <w:szCs w:val="20"/>
              </w:rPr>
            </w:pPr>
            <w:r>
              <w:rPr>
                <w:color w:val="000000"/>
                <w:kern w:val="0"/>
                <w:sz w:val="20"/>
                <w:szCs w:val="20"/>
                <w:lang/>
              </w:rPr>
              <w:t>84.7</w:t>
            </w:r>
            <w:r>
              <w:rPr>
                <w:rFonts w:hint="eastAsia"/>
                <w:color w:val="000000"/>
                <w:kern w:val="0"/>
                <w:sz w:val="20"/>
                <w:szCs w:val="20"/>
                <w:lang/>
              </w:rPr>
              <w:t>0</w:t>
            </w:r>
            <w:r>
              <w:rPr>
                <w:color w:val="000000"/>
                <w:kern w:val="0"/>
                <w:sz w:val="20"/>
                <w:szCs w:val="20"/>
                <w:lang/>
              </w:rPr>
              <w:t>%</w:t>
            </w:r>
          </w:p>
        </w:tc>
      </w:tr>
      <w:tr w:rsidR="000F2FBD" w:rsidTr="001F6B1A">
        <w:trPr>
          <w:trHeight w:val="482"/>
          <w:jc w:val="center"/>
        </w:trPr>
        <w:tc>
          <w:tcPr>
            <w:tcW w:w="2263" w:type="dxa"/>
            <w:vAlign w:val="center"/>
          </w:tcPr>
          <w:p w:rsidR="000F2FBD" w:rsidRDefault="000F2FBD" w:rsidP="001F6B1A">
            <w:pPr>
              <w:adjustRightInd w:val="0"/>
              <w:snapToGrid w:val="0"/>
              <w:jc w:val="center"/>
              <w:rPr>
                <w:sz w:val="20"/>
                <w:szCs w:val="20"/>
              </w:rPr>
            </w:pPr>
            <w:r>
              <w:rPr>
                <w:sz w:val="20"/>
                <w:szCs w:val="20"/>
              </w:rPr>
              <w:t>整体绩效目标实现情况</w:t>
            </w:r>
          </w:p>
        </w:tc>
        <w:tc>
          <w:tcPr>
            <w:tcW w:w="1881" w:type="dxa"/>
            <w:vAlign w:val="center"/>
          </w:tcPr>
          <w:p w:rsidR="000F2FBD" w:rsidRDefault="000F2FBD" w:rsidP="001F6B1A">
            <w:pPr>
              <w:adjustRightInd w:val="0"/>
              <w:snapToGrid w:val="0"/>
              <w:jc w:val="center"/>
              <w:rPr>
                <w:sz w:val="20"/>
                <w:szCs w:val="20"/>
              </w:rPr>
            </w:pPr>
            <w:r>
              <w:rPr>
                <w:sz w:val="20"/>
                <w:szCs w:val="20"/>
              </w:rPr>
              <w:t>60</w:t>
            </w:r>
          </w:p>
        </w:tc>
        <w:tc>
          <w:tcPr>
            <w:tcW w:w="2073" w:type="dxa"/>
            <w:vAlign w:val="center"/>
          </w:tcPr>
          <w:p w:rsidR="000F2FBD" w:rsidRDefault="000F2FBD" w:rsidP="001F6B1A">
            <w:pPr>
              <w:adjustRightInd w:val="0"/>
              <w:snapToGrid w:val="0"/>
              <w:jc w:val="center"/>
              <w:rPr>
                <w:sz w:val="20"/>
                <w:szCs w:val="20"/>
              </w:rPr>
            </w:pPr>
            <w:r>
              <w:rPr>
                <w:sz w:val="20"/>
                <w:szCs w:val="20"/>
              </w:rPr>
              <w:t>5</w:t>
            </w:r>
            <w:r>
              <w:rPr>
                <w:rFonts w:hint="eastAsia"/>
                <w:sz w:val="20"/>
                <w:szCs w:val="20"/>
              </w:rPr>
              <w:t>4.17</w:t>
            </w:r>
          </w:p>
        </w:tc>
        <w:tc>
          <w:tcPr>
            <w:tcW w:w="2073" w:type="dxa"/>
            <w:vAlign w:val="center"/>
          </w:tcPr>
          <w:p w:rsidR="000F2FBD" w:rsidRDefault="000F2FBD" w:rsidP="001F6B1A">
            <w:pPr>
              <w:widowControl/>
              <w:adjustRightInd w:val="0"/>
              <w:snapToGrid w:val="0"/>
              <w:jc w:val="center"/>
              <w:textAlignment w:val="center"/>
              <w:rPr>
                <w:sz w:val="20"/>
                <w:szCs w:val="20"/>
              </w:rPr>
            </w:pPr>
            <w:r>
              <w:rPr>
                <w:rFonts w:hint="eastAsia"/>
                <w:color w:val="000000"/>
                <w:kern w:val="0"/>
                <w:sz w:val="20"/>
                <w:szCs w:val="20"/>
                <w:lang/>
              </w:rPr>
              <w:t>90.28</w:t>
            </w:r>
            <w:r>
              <w:rPr>
                <w:color w:val="000000"/>
                <w:kern w:val="0"/>
                <w:sz w:val="20"/>
                <w:szCs w:val="20"/>
                <w:lang/>
              </w:rPr>
              <w:t>%</w:t>
            </w:r>
          </w:p>
        </w:tc>
      </w:tr>
      <w:tr w:rsidR="000F2FBD" w:rsidTr="001F6B1A">
        <w:trPr>
          <w:trHeight w:val="482"/>
          <w:jc w:val="center"/>
        </w:trPr>
        <w:tc>
          <w:tcPr>
            <w:tcW w:w="2263" w:type="dxa"/>
            <w:vAlign w:val="center"/>
          </w:tcPr>
          <w:p w:rsidR="000F2FBD" w:rsidRDefault="000F2FBD" w:rsidP="001F6B1A">
            <w:pPr>
              <w:adjustRightInd w:val="0"/>
              <w:snapToGrid w:val="0"/>
              <w:jc w:val="center"/>
              <w:rPr>
                <w:sz w:val="20"/>
                <w:szCs w:val="20"/>
              </w:rPr>
            </w:pPr>
            <w:r>
              <w:rPr>
                <w:sz w:val="20"/>
                <w:szCs w:val="20"/>
              </w:rPr>
              <w:t>预算管理情况</w:t>
            </w:r>
          </w:p>
        </w:tc>
        <w:tc>
          <w:tcPr>
            <w:tcW w:w="1881" w:type="dxa"/>
            <w:vAlign w:val="center"/>
          </w:tcPr>
          <w:p w:rsidR="000F2FBD" w:rsidRDefault="000F2FBD" w:rsidP="001F6B1A">
            <w:pPr>
              <w:adjustRightInd w:val="0"/>
              <w:snapToGrid w:val="0"/>
              <w:jc w:val="center"/>
              <w:rPr>
                <w:sz w:val="20"/>
                <w:szCs w:val="20"/>
              </w:rPr>
            </w:pPr>
            <w:r>
              <w:rPr>
                <w:sz w:val="20"/>
                <w:szCs w:val="20"/>
              </w:rPr>
              <w:t>20</w:t>
            </w:r>
          </w:p>
        </w:tc>
        <w:tc>
          <w:tcPr>
            <w:tcW w:w="2073" w:type="dxa"/>
            <w:vAlign w:val="center"/>
          </w:tcPr>
          <w:p w:rsidR="000F2FBD" w:rsidRDefault="000F2FBD" w:rsidP="001F6B1A">
            <w:pPr>
              <w:adjustRightInd w:val="0"/>
              <w:snapToGrid w:val="0"/>
              <w:jc w:val="center"/>
              <w:rPr>
                <w:sz w:val="20"/>
                <w:szCs w:val="20"/>
              </w:rPr>
            </w:pPr>
            <w:r>
              <w:rPr>
                <w:sz w:val="20"/>
                <w:szCs w:val="20"/>
              </w:rPr>
              <w:t>19.50</w:t>
            </w:r>
          </w:p>
        </w:tc>
        <w:tc>
          <w:tcPr>
            <w:tcW w:w="2073" w:type="dxa"/>
            <w:vAlign w:val="center"/>
          </w:tcPr>
          <w:p w:rsidR="000F2FBD" w:rsidRDefault="000F2FBD" w:rsidP="001F6B1A">
            <w:pPr>
              <w:widowControl/>
              <w:adjustRightInd w:val="0"/>
              <w:snapToGrid w:val="0"/>
              <w:jc w:val="center"/>
              <w:textAlignment w:val="center"/>
              <w:rPr>
                <w:sz w:val="20"/>
                <w:szCs w:val="20"/>
              </w:rPr>
            </w:pPr>
            <w:r>
              <w:rPr>
                <w:color w:val="000000"/>
                <w:kern w:val="0"/>
                <w:sz w:val="20"/>
                <w:szCs w:val="20"/>
                <w:lang/>
              </w:rPr>
              <w:t>97.50%</w:t>
            </w:r>
          </w:p>
        </w:tc>
      </w:tr>
      <w:tr w:rsidR="000F2FBD" w:rsidTr="001F6B1A">
        <w:trPr>
          <w:trHeight w:val="482"/>
          <w:jc w:val="center"/>
        </w:trPr>
        <w:tc>
          <w:tcPr>
            <w:tcW w:w="2263" w:type="dxa"/>
            <w:vAlign w:val="center"/>
          </w:tcPr>
          <w:p w:rsidR="000F2FBD" w:rsidRDefault="000F2FBD" w:rsidP="001F6B1A">
            <w:pPr>
              <w:adjustRightInd w:val="0"/>
              <w:snapToGrid w:val="0"/>
              <w:jc w:val="center"/>
              <w:rPr>
                <w:b/>
                <w:bCs/>
                <w:sz w:val="20"/>
                <w:szCs w:val="20"/>
              </w:rPr>
            </w:pPr>
            <w:r>
              <w:rPr>
                <w:b/>
                <w:bCs/>
                <w:sz w:val="20"/>
                <w:szCs w:val="20"/>
              </w:rPr>
              <w:t>合</w:t>
            </w:r>
            <w:r>
              <w:rPr>
                <w:b/>
                <w:bCs/>
                <w:sz w:val="20"/>
                <w:szCs w:val="20"/>
              </w:rPr>
              <w:t xml:space="preserve">  </w:t>
            </w:r>
            <w:r>
              <w:rPr>
                <w:b/>
                <w:bCs/>
                <w:sz w:val="20"/>
                <w:szCs w:val="20"/>
              </w:rPr>
              <w:t>计</w:t>
            </w:r>
          </w:p>
        </w:tc>
        <w:tc>
          <w:tcPr>
            <w:tcW w:w="1881" w:type="dxa"/>
            <w:vAlign w:val="center"/>
          </w:tcPr>
          <w:p w:rsidR="000F2FBD" w:rsidRDefault="000F2FBD" w:rsidP="001F6B1A">
            <w:pPr>
              <w:adjustRightInd w:val="0"/>
              <w:snapToGrid w:val="0"/>
              <w:jc w:val="center"/>
              <w:rPr>
                <w:b/>
                <w:bCs/>
                <w:sz w:val="20"/>
                <w:szCs w:val="20"/>
              </w:rPr>
            </w:pPr>
            <w:r>
              <w:rPr>
                <w:b/>
                <w:bCs/>
                <w:sz w:val="20"/>
                <w:szCs w:val="20"/>
              </w:rPr>
              <w:t>100</w:t>
            </w:r>
          </w:p>
        </w:tc>
        <w:tc>
          <w:tcPr>
            <w:tcW w:w="2073" w:type="dxa"/>
            <w:vAlign w:val="center"/>
          </w:tcPr>
          <w:p w:rsidR="000F2FBD" w:rsidRDefault="000F2FBD" w:rsidP="001F6B1A">
            <w:pPr>
              <w:adjustRightInd w:val="0"/>
              <w:snapToGrid w:val="0"/>
              <w:jc w:val="center"/>
              <w:rPr>
                <w:b/>
                <w:bCs/>
                <w:sz w:val="20"/>
                <w:szCs w:val="20"/>
              </w:rPr>
            </w:pPr>
            <w:r>
              <w:rPr>
                <w:b/>
                <w:bCs/>
                <w:sz w:val="20"/>
                <w:szCs w:val="20"/>
              </w:rPr>
              <w:t>90.</w:t>
            </w:r>
            <w:r>
              <w:rPr>
                <w:rFonts w:hint="eastAsia"/>
                <w:b/>
                <w:bCs/>
                <w:sz w:val="20"/>
                <w:szCs w:val="20"/>
              </w:rPr>
              <w:t>61</w:t>
            </w:r>
          </w:p>
        </w:tc>
        <w:tc>
          <w:tcPr>
            <w:tcW w:w="2073" w:type="dxa"/>
            <w:vAlign w:val="center"/>
          </w:tcPr>
          <w:p w:rsidR="000F2FBD" w:rsidRDefault="000F2FBD" w:rsidP="001F6B1A">
            <w:pPr>
              <w:widowControl/>
              <w:adjustRightInd w:val="0"/>
              <w:snapToGrid w:val="0"/>
              <w:jc w:val="center"/>
              <w:textAlignment w:val="center"/>
              <w:rPr>
                <w:b/>
                <w:bCs/>
                <w:sz w:val="20"/>
                <w:szCs w:val="20"/>
              </w:rPr>
            </w:pPr>
            <w:r>
              <w:rPr>
                <w:b/>
                <w:bCs/>
                <w:sz w:val="20"/>
                <w:szCs w:val="20"/>
              </w:rPr>
              <w:t>90.</w:t>
            </w:r>
            <w:r>
              <w:rPr>
                <w:rFonts w:hint="eastAsia"/>
                <w:b/>
                <w:bCs/>
                <w:sz w:val="20"/>
                <w:szCs w:val="20"/>
              </w:rPr>
              <w:t>61</w:t>
            </w:r>
            <w:r>
              <w:rPr>
                <w:b/>
                <w:bCs/>
                <w:sz w:val="20"/>
                <w:szCs w:val="20"/>
              </w:rPr>
              <w:t>%</w:t>
            </w:r>
          </w:p>
        </w:tc>
      </w:tr>
    </w:tbl>
    <w:p w:rsidR="000F2FBD" w:rsidRDefault="000F2FBD" w:rsidP="000F2FBD">
      <w:pPr>
        <w:pStyle w:val="a4"/>
        <w:adjustRightInd w:val="0"/>
        <w:snapToGrid w:val="0"/>
        <w:spacing w:after="0" w:line="360" w:lineRule="auto"/>
        <w:ind w:firstLineChars="200" w:firstLine="640"/>
        <w:outlineLvl w:val="1"/>
        <w:rPr>
          <w:rFonts w:eastAsia="楷体_GB2312"/>
          <w:sz w:val="32"/>
          <w:szCs w:val="32"/>
        </w:rPr>
      </w:pPr>
      <w:bookmarkStart w:id="35" w:name="_Toc4679"/>
    </w:p>
    <w:p w:rsidR="000F2FBD" w:rsidRDefault="000F2FBD" w:rsidP="000F2FBD"/>
    <w:p w:rsidR="000F2FBD" w:rsidRDefault="000F2FBD" w:rsidP="000F2FBD">
      <w:pPr>
        <w:spacing w:line="600" w:lineRule="exact"/>
        <w:ind w:firstLineChars="200" w:firstLine="640"/>
        <w:rPr>
          <w:rFonts w:ascii="楷体_GB2312" w:eastAsia="楷体_GB2312"/>
          <w:sz w:val="32"/>
          <w:szCs w:val="32"/>
        </w:rPr>
      </w:pPr>
      <w:bookmarkStart w:id="36" w:name="_Toc19930"/>
      <w:r>
        <w:rPr>
          <w:rFonts w:ascii="楷体_GB2312" w:eastAsia="楷体_GB2312"/>
          <w:sz w:val="32"/>
          <w:szCs w:val="32"/>
        </w:rPr>
        <w:t>（二）存在的问题及原因分析</w:t>
      </w:r>
      <w:bookmarkEnd w:id="35"/>
      <w:bookmarkEnd w:id="36"/>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1.部分项目未完成预期目标任务</w:t>
      </w:r>
      <w:r>
        <w:rPr>
          <w:rFonts w:ascii="仿宋_GB2312" w:eastAsia="仿宋_GB2312" w:hint="eastAsia"/>
          <w:sz w:val="28"/>
          <w:szCs w:val="28"/>
        </w:rPr>
        <w:t>，影响项目预算执行率</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受新冠肺炎疫情、</w:t>
      </w:r>
      <w:r>
        <w:rPr>
          <w:rFonts w:ascii="仿宋_GB2312" w:eastAsia="仿宋_GB2312" w:hint="eastAsia"/>
          <w:sz w:val="28"/>
          <w:szCs w:val="28"/>
        </w:rPr>
        <w:t>实际工作需求调整</w:t>
      </w:r>
      <w:r>
        <w:rPr>
          <w:rFonts w:ascii="仿宋_GB2312" w:eastAsia="仿宋_GB2312"/>
          <w:sz w:val="28"/>
          <w:szCs w:val="28"/>
        </w:rPr>
        <w:t>等因素影响，部分工作无法正常开展，部分产出数量和进度方面均受到一定影响，部分项目执行情况未及预期，</w:t>
      </w:r>
      <w:r>
        <w:rPr>
          <w:rFonts w:ascii="仿宋_GB2312" w:eastAsia="仿宋_GB2312" w:hint="eastAsia"/>
          <w:sz w:val="28"/>
          <w:szCs w:val="28"/>
        </w:rPr>
        <w:t>进而影响项目预算执行率，</w:t>
      </w:r>
      <w:r>
        <w:rPr>
          <w:rFonts w:ascii="仿宋_GB2312" w:eastAsia="仿宋_GB2312"/>
          <w:sz w:val="28"/>
          <w:szCs w:val="28"/>
        </w:rPr>
        <w:t>具体情况如下：</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一是部分项目受新冠疫情影响工作推迟，如科研学术活动经费项目受疫情影响，</w:t>
      </w:r>
      <w:r>
        <w:rPr>
          <w:rFonts w:ascii="仿宋_GB2312" w:eastAsia="仿宋_GB2312"/>
          <w:sz w:val="28"/>
          <w:szCs w:val="28"/>
        </w:rPr>
        <w:t>“</w:t>
      </w:r>
      <w:r>
        <w:rPr>
          <w:rFonts w:ascii="仿宋_GB2312" w:eastAsia="仿宋_GB2312"/>
          <w:sz w:val="28"/>
          <w:szCs w:val="28"/>
        </w:rPr>
        <w:t>第十四届环渤海区域合作与发展党校论坛</w:t>
      </w:r>
      <w:r>
        <w:rPr>
          <w:rFonts w:ascii="仿宋_GB2312" w:eastAsia="仿宋_GB2312"/>
          <w:sz w:val="28"/>
          <w:szCs w:val="28"/>
        </w:rPr>
        <w:t>”</w:t>
      </w:r>
      <w:r>
        <w:rPr>
          <w:rFonts w:ascii="仿宋_GB2312" w:eastAsia="仿宋_GB2312"/>
          <w:sz w:val="28"/>
          <w:szCs w:val="28"/>
        </w:rPr>
        <w:t>推迟至2023年召开。</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二是部分项目因新冠疫情影响工作取消，如基层党校业务指导费项目的异地教学、异地调研活动取消实施，未完成预期目标任务，进而影响预算执行率。</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三是个别项目因实际工作需求调整，最终产出未达到预期，如图书馆纸质资源建设项目因馆藏优化，合理配置报刊订购结构，调整中文报刊订购种类与数量，剔除了部分利用率较低的报刊类目，导致中文报刊订购未达到预期目标任务。</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2.部分项目绩效指标设置有待完善</w:t>
      </w:r>
      <w:r>
        <w:rPr>
          <w:rFonts w:ascii="仿宋_GB2312" w:eastAsia="仿宋_GB2312" w:hint="eastAsia"/>
          <w:sz w:val="28"/>
          <w:szCs w:val="28"/>
        </w:rPr>
        <w:t>，效益佐证材料有待进一步收集</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本次绩效自评工作所涉及的项目均设置了绩效目标，大部分项目绩效目标设置明确，绩效指标较为细化、量化，但个别项目绩效指标设置需进一步完善：一是质量指标、时效指标设置不够细化，约束力度有待进一步加强；</w:t>
      </w:r>
      <w:r>
        <w:rPr>
          <w:rFonts w:ascii="仿宋_GB2312" w:eastAsia="仿宋_GB2312" w:hint="eastAsia"/>
          <w:sz w:val="28"/>
          <w:szCs w:val="28"/>
        </w:rPr>
        <w:t>二</w:t>
      </w:r>
      <w:bookmarkStart w:id="37" w:name="_GoBack"/>
      <w:bookmarkEnd w:id="37"/>
      <w:r>
        <w:rPr>
          <w:rFonts w:ascii="仿宋_GB2312" w:eastAsia="仿宋_GB2312"/>
          <w:sz w:val="28"/>
          <w:szCs w:val="28"/>
        </w:rPr>
        <w:t>是绩效指标归口不正确；三是效益指标设置较为宽泛、笼统，为定性表述，效果实现情况难以定量考核等。</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同时，2022年度市委党校教学培训、科学研究等方面工作实施</w:t>
      </w:r>
      <w:r>
        <w:rPr>
          <w:rFonts w:ascii="仿宋_GB2312" w:eastAsia="仿宋_GB2312"/>
          <w:sz w:val="28"/>
          <w:szCs w:val="28"/>
        </w:rPr>
        <w:lastRenderedPageBreak/>
        <w:t>成果较为明确，产出成果较为丰富，但部分项目未能及时、全面收集项目实施效益实例图片或典型案例、成果应用证明材料、媒体宣传报道、工作总结等效益佐证资料，未能较好地反映项目实施后的效果实现情况；且大部分项目普遍未开展满意度调查工作，相关工作的服务对象满意度缺少有效材料及数据支撑。</w:t>
      </w:r>
    </w:p>
    <w:p w:rsidR="000F2FBD" w:rsidRDefault="000F2FBD" w:rsidP="000F2FBD">
      <w:pPr>
        <w:spacing w:line="600" w:lineRule="exact"/>
        <w:ind w:firstLineChars="200" w:firstLine="640"/>
        <w:rPr>
          <w:rFonts w:ascii="黑体" w:eastAsia="黑体" w:hAnsi="黑体" w:cs="宋体"/>
          <w:color w:val="000000"/>
          <w:kern w:val="0"/>
          <w:sz w:val="32"/>
          <w:szCs w:val="32"/>
        </w:rPr>
      </w:pPr>
      <w:bookmarkStart w:id="38" w:name="_Toc30941"/>
      <w:bookmarkStart w:id="39" w:name="_Toc14557"/>
      <w:r>
        <w:rPr>
          <w:rFonts w:ascii="黑体" w:eastAsia="黑体" w:hAnsi="黑体" w:cs="宋体"/>
          <w:color w:val="000000"/>
          <w:kern w:val="0"/>
          <w:sz w:val="32"/>
          <w:szCs w:val="32"/>
        </w:rPr>
        <w:t>六、措施建议</w:t>
      </w:r>
      <w:bookmarkEnd w:id="38"/>
      <w:bookmarkEnd w:id="39"/>
    </w:p>
    <w:p w:rsidR="000F2FBD" w:rsidRDefault="000F2FBD" w:rsidP="000F2FBD">
      <w:pPr>
        <w:spacing w:line="600" w:lineRule="exact"/>
        <w:ind w:firstLineChars="200" w:firstLine="640"/>
        <w:rPr>
          <w:rFonts w:ascii="楷体_GB2312" w:eastAsia="楷体_GB2312"/>
          <w:sz w:val="32"/>
          <w:szCs w:val="32"/>
        </w:rPr>
      </w:pPr>
      <w:bookmarkStart w:id="40" w:name="_Toc8519"/>
      <w:bookmarkStart w:id="41" w:name="_Toc22924"/>
      <w:r>
        <w:rPr>
          <w:rFonts w:ascii="楷体_GB2312" w:eastAsia="楷体_GB2312"/>
          <w:sz w:val="32"/>
          <w:szCs w:val="32"/>
        </w:rPr>
        <w:t>（一）多</w:t>
      </w:r>
      <w:proofErr w:type="gramStart"/>
      <w:r>
        <w:rPr>
          <w:rFonts w:ascii="楷体_GB2312" w:eastAsia="楷体_GB2312"/>
          <w:sz w:val="32"/>
          <w:szCs w:val="32"/>
        </w:rPr>
        <w:t>措</w:t>
      </w:r>
      <w:proofErr w:type="gramEnd"/>
      <w:r>
        <w:rPr>
          <w:rFonts w:ascii="楷体_GB2312" w:eastAsia="楷体_GB2312"/>
          <w:sz w:val="32"/>
          <w:szCs w:val="32"/>
        </w:rPr>
        <w:t>并举，进一步提高部门产出完成情况</w:t>
      </w:r>
      <w:bookmarkEnd w:id="40"/>
      <w:bookmarkEnd w:id="41"/>
    </w:p>
    <w:p w:rsidR="000F2FBD" w:rsidRDefault="000F2FBD" w:rsidP="000F2FBD">
      <w:pPr>
        <w:pStyle w:val="a4"/>
        <w:adjustRightInd w:val="0"/>
        <w:snapToGrid w:val="0"/>
        <w:spacing w:after="0" w:line="360" w:lineRule="auto"/>
        <w:ind w:firstLineChars="200" w:firstLine="560"/>
        <w:outlineLvl w:val="2"/>
        <w:rPr>
          <w:rFonts w:ascii="仿宋_GB2312" w:eastAsia="仿宋_GB2312" w:hint="eastAsia"/>
          <w:sz w:val="28"/>
          <w:szCs w:val="28"/>
        </w:rPr>
      </w:pPr>
      <w:r>
        <w:rPr>
          <w:rFonts w:ascii="仿宋_GB2312" w:eastAsia="仿宋_GB2312" w:hint="eastAsia"/>
          <w:sz w:val="28"/>
          <w:szCs w:val="28"/>
        </w:rPr>
        <w:t>建立项目执行进度跟踪机制，健全项目业务执行及资金支出进度的管控措施，明确项目实施及预算执行滞后的责任落实，切实提高项目执行效率和资金执行率。可定期召开预算绩效管理会议，对预算执行的进度、项目开展的进度以及遇到的问题进行专题讨论，形成动态监管机制。如遇受客观原因影响，确定无法完成的目标应及时履行预算和目标调整手续，及时做好项目内容或工作计划调整说明，以有效指导接下来的项目开展。</w:t>
      </w:r>
    </w:p>
    <w:p w:rsidR="000F2FBD" w:rsidRDefault="000F2FBD" w:rsidP="000F2FBD">
      <w:pPr>
        <w:spacing w:line="600" w:lineRule="exact"/>
        <w:ind w:firstLineChars="200" w:firstLine="640"/>
        <w:rPr>
          <w:rFonts w:ascii="楷体_GB2312" w:eastAsia="楷体_GB2312"/>
          <w:sz w:val="32"/>
          <w:szCs w:val="32"/>
        </w:rPr>
      </w:pPr>
      <w:bookmarkStart w:id="42" w:name="_Toc2826"/>
      <w:bookmarkStart w:id="43" w:name="_Toc19958"/>
      <w:r>
        <w:rPr>
          <w:rFonts w:ascii="楷体_GB2312" w:eastAsia="楷体_GB2312"/>
          <w:sz w:val="32"/>
          <w:szCs w:val="32"/>
        </w:rPr>
        <w:t>（二）强化绩效理念，完善绩效指标设置</w:t>
      </w:r>
      <w:bookmarkEnd w:id="42"/>
      <w:bookmarkEnd w:id="43"/>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hint="eastAsia"/>
          <w:sz w:val="28"/>
          <w:szCs w:val="28"/>
        </w:rPr>
        <w:t>要</w:t>
      </w:r>
      <w:r>
        <w:rPr>
          <w:rFonts w:ascii="仿宋_GB2312" w:eastAsia="仿宋_GB2312"/>
          <w:sz w:val="28"/>
          <w:szCs w:val="28"/>
        </w:rPr>
        <w:t>在深入研究学习《北京市预算绩效管理办法》《北京市预算绩效目标管理办法》《北京市项目支出绩效评价管理办法》等文件基础上，加强绩效目标编报的指导和培训以及绩效目标审核力度，确保绩效理念及相关要求落实到项目负责人，进而有效提高绩效目标及指标设置的明确性、合理性。指导项目负责人全面梳理项目年度实施内容，厘清项目核心工作任务，并结合核心工作任务对预期绩效目标进行分解、细化，完善产出数量、质量指标，细化社会效益指标，确保各项指标可考核、可衡量，为后续项目的实施及考核工作提供可考依据。</w:t>
      </w:r>
    </w:p>
    <w:p w:rsidR="000F2FBD" w:rsidRDefault="000F2FBD" w:rsidP="000F2FBD">
      <w:pPr>
        <w:pStyle w:val="a4"/>
        <w:adjustRightInd w:val="0"/>
        <w:snapToGrid w:val="0"/>
        <w:spacing w:after="0" w:line="360" w:lineRule="auto"/>
        <w:ind w:firstLineChars="200" w:firstLine="560"/>
        <w:outlineLvl w:val="2"/>
        <w:rPr>
          <w:rFonts w:ascii="仿宋_GB2312" w:eastAsia="仿宋_GB2312"/>
          <w:sz w:val="28"/>
          <w:szCs w:val="28"/>
        </w:rPr>
      </w:pPr>
      <w:r>
        <w:rPr>
          <w:rFonts w:ascii="仿宋_GB2312" w:eastAsia="仿宋_GB2312"/>
          <w:sz w:val="28"/>
          <w:szCs w:val="28"/>
        </w:rPr>
        <w:t>同时，强化效益佐证材料的收集、整理意识，将绩效理念融入</w:t>
      </w:r>
      <w:r>
        <w:rPr>
          <w:rFonts w:ascii="仿宋_GB2312" w:eastAsia="仿宋_GB2312"/>
          <w:sz w:val="28"/>
          <w:szCs w:val="28"/>
        </w:rPr>
        <w:lastRenderedPageBreak/>
        <w:t>项目管理过程中，在项目实施过程中注重归纳、提炼、挖掘、收集项目实施效益及满意度情况，注重结果导向，切实做到</w:t>
      </w:r>
      <w:r>
        <w:rPr>
          <w:rFonts w:ascii="仿宋_GB2312" w:eastAsia="仿宋_GB2312"/>
          <w:sz w:val="28"/>
          <w:szCs w:val="28"/>
        </w:rPr>
        <w:t>“</w:t>
      </w:r>
      <w:r>
        <w:rPr>
          <w:rFonts w:ascii="仿宋_GB2312" w:eastAsia="仿宋_GB2312"/>
          <w:sz w:val="28"/>
          <w:szCs w:val="28"/>
        </w:rPr>
        <w:t>重支出</w:t>
      </w:r>
      <w:r>
        <w:rPr>
          <w:rFonts w:ascii="仿宋_GB2312" w:eastAsia="仿宋_GB2312"/>
          <w:sz w:val="28"/>
          <w:szCs w:val="28"/>
        </w:rPr>
        <w:t>”</w:t>
      </w:r>
      <w:r>
        <w:rPr>
          <w:rFonts w:ascii="仿宋_GB2312" w:eastAsia="仿宋_GB2312"/>
          <w:sz w:val="28"/>
          <w:szCs w:val="28"/>
        </w:rPr>
        <w:t>也</w:t>
      </w:r>
      <w:r>
        <w:rPr>
          <w:rFonts w:ascii="仿宋_GB2312" w:eastAsia="仿宋_GB2312"/>
          <w:sz w:val="28"/>
          <w:szCs w:val="28"/>
        </w:rPr>
        <w:t>“</w:t>
      </w:r>
      <w:r>
        <w:rPr>
          <w:rFonts w:ascii="仿宋_GB2312" w:eastAsia="仿宋_GB2312"/>
          <w:sz w:val="28"/>
          <w:szCs w:val="28"/>
        </w:rPr>
        <w:t>重绩效</w:t>
      </w:r>
      <w:r>
        <w:rPr>
          <w:rFonts w:ascii="仿宋_GB2312" w:eastAsia="仿宋_GB2312"/>
          <w:sz w:val="28"/>
          <w:szCs w:val="28"/>
        </w:rPr>
        <w:t>”</w:t>
      </w:r>
      <w:r>
        <w:rPr>
          <w:rFonts w:ascii="仿宋_GB2312" w:eastAsia="仿宋_GB2312"/>
          <w:sz w:val="28"/>
          <w:szCs w:val="28"/>
        </w:rPr>
        <w:t>。</w:t>
      </w:r>
    </w:p>
    <w:p w:rsidR="000F2FBD" w:rsidRDefault="000F2FBD" w:rsidP="000F2FBD">
      <w:pPr>
        <w:spacing w:line="600" w:lineRule="exact"/>
        <w:ind w:firstLineChars="200" w:firstLine="640"/>
        <w:rPr>
          <w:rFonts w:ascii="楷体_GB2312" w:eastAsia="楷体_GB2312"/>
          <w:sz w:val="32"/>
          <w:szCs w:val="32"/>
        </w:rPr>
      </w:pPr>
      <w:bookmarkStart w:id="44" w:name="_Toc26324"/>
      <w:bookmarkStart w:id="45" w:name="_Toc20955"/>
      <w:r>
        <w:rPr>
          <w:rFonts w:ascii="楷体_GB2312" w:eastAsia="楷体_GB2312"/>
          <w:sz w:val="32"/>
          <w:szCs w:val="32"/>
        </w:rPr>
        <w:t>（三）</w:t>
      </w:r>
      <w:r>
        <w:rPr>
          <w:rFonts w:ascii="楷体_GB2312" w:eastAsia="楷体_GB2312" w:hint="eastAsia"/>
          <w:sz w:val="32"/>
          <w:szCs w:val="32"/>
        </w:rPr>
        <w:t>健全</w:t>
      </w:r>
      <w:r>
        <w:rPr>
          <w:rFonts w:ascii="楷体_GB2312" w:eastAsia="楷体_GB2312"/>
          <w:sz w:val="32"/>
          <w:szCs w:val="32"/>
        </w:rPr>
        <w:t>预算绩效管理体系，落实全面实施预算绩效管理要求</w:t>
      </w:r>
      <w:bookmarkEnd w:id="44"/>
      <w:bookmarkEnd w:id="45"/>
    </w:p>
    <w:p w:rsidR="000F2FBD" w:rsidRDefault="000F2FBD" w:rsidP="000F2FBD">
      <w:pPr>
        <w:pStyle w:val="a4"/>
        <w:adjustRightInd w:val="0"/>
        <w:snapToGrid w:val="0"/>
        <w:spacing w:after="0" w:line="360" w:lineRule="auto"/>
        <w:ind w:firstLineChars="200" w:firstLine="560"/>
        <w:outlineLvl w:val="2"/>
        <w:rPr>
          <w:rFonts w:ascii="仿宋_GB2312" w:eastAsia="仿宋_GB2312" w:hint="eastAsia"/>
          <w:sz w:val="28"/>
          <w:szCs w:val="28"/>
        </w:rPr>
      </w:pPr>
      <w:r>
        <w:rPr>
          <w:rFonts w:ascii="仿宋_GB2312" w:eastAsia="仿宋_GB2312"/>
          <w:sz w:val="28"/>
          <w:szCs w:val="28"/>
        </w:rPr>
        <w:t>结合当前国家、北京市全面实施预算绩效管理要求</w:t>
      </w:r>
      <w:r>
        <w:rPr>
          <w:rFonts w:ascii="仿宋_GB2312" w:eastAsia="仿宋_GB2312" w:hint="eastAsia"/>
          <w:sz w:val="28"/>
          <w:szCs w:val="28"/>
        </w:rPr>
        <w:t>，</w:t>
      </w:r>
      <w:r>
        <w:rPr>
          <w:rFonts w:ascii="仿宋_GB2312" w:eastAsia="仿宋_GB2312"/>
          <w:sz w:val="28"/>
          <w:szCs w:val="28"/>
        </w:rPr>
        <w:t>做好事前绩效评估、强化绩效目标管理、开展绩效运行监控、建立绩效评价管理机制、强化评价结果应用，建设</w:t>
      </w:r>
      <w:r>
        <w:rPr>
          <w:rFonts w:ascii="仿宋_GB2312" w:eastAsia="仿宋_GB2312"/>
          <w:sz w:val="28"/>
          <w:szCs w:val="28"/>
        </w:rPr>
        <w:t>“</w:t>
      </w:r>
      <w:r>
        <w:rPr>
          <w:rFonts w:ascii="仿宋_GB2312" w:eastAsia="仿宋_GB2312"/>
          <w:sz w:val="28"/>
          <w:szCs w:val="28"/>
        </w:rPr>
        <w:t>全过程、全方位、全覆盖</w:t>
      </w:r>
      <w:r>
        <w:rPr>
          <w:rFonts w:ascii="仿宋_GB2312" w:eastAsia="仿宋_GB2312"/>
          <w:sz w:val="28"/>
          <w:szCs w:val="28"/>
        </w:rPr>
        <w:t>”</w:t>
      </w:r>
      <w:r>
        <w:rPr>
          <w:rFonts w:ascii="仿宋_GB2312" w:eastAsia="仿宋_GB2312"/>
          <w:sz w:val="28"/>
          <w:szCs w:val="28"/>
        </w:rPr>
        <w:t>的预算绩效管理体系</w:t>
      </w:r>
      <w:r>
        <w:rPr>
          <w:rFonts w:ascii="仿宋_GB2312" w:eastAsia="仿宋_GB2312" w:hint="eastAsia"/>
          <w:sz w:val="28"/>
          <w:szCs w:val="28"/>
        </w:rPr>
        <w:t>，</w:t>
      </w:r>
      <w:r>
        <w:rPr>
          <w:rFonts w:ascii="仿宋_GB2312" w:eastAsia="仿宋_GB2312"/>
          <w:sz w:val="28"/>
          <w:szCs w:val="28"/>
        </w:rPr>
        <w:t>将绩效理念和方法深度融入预算编制、执行、监督全过程，从而实现预算和绩效管理一体化，着力提高财政资源配置效率和使用效益，</w:t>
      </w:r>
      <w:r>
        <w:rPr>
          <w:rFonts w:ascii="仿宋_GB2312" w:eastAsia="仿宋_GB2312" w:hint="eastAsia"/>
          <w:sz w:val="28"/>
          <w:szCs w:val="28"/>
        </w:rPr>
        <w:t>有效</w:t>
      </w:r>
      <w:r>
        <w:rPr>
          <w:rFonts w:ascii="仿宋_GB2312" w:eastAsia="仿宋_GB2312"/>
          <w:sz w:val="28"/>
          <w:szCs w:val="28"/>
        </w:rPr>
        <w:t>提高预算管理水平和政策实施效果</w:t>
      </w:r>
      <w:r>
        <w:rPr>
          <w:rFonts w:ascii="仿宋_GB2312" w:eastAsia="仿宋_GB2312" w:hint="eastAsia"/>
          <w:sz w:val="28"/>
          <w:szCs w:val="28"/>
        </w:rPr>
        <w:t>，确保预算绩效管理标准科学、程序规范、方法合理。</w:t>
      </w:r>
    </w:p>
    <w:p w:rsidR="000F2FBD" w:rsidRDefault="000F2FBD" w:rsidP="000F2FBD">
      <w:pPr>
        <w:spacing w:line="600" w:lineRule="exact"/>
        <w:ind w:firstLineChars="200" w:firstLine="640"/>
        <w:rPr>
          <w:rFonts w:ascii="黑体" w:eastAsia="黑体" w:hAnsi="黑体" w:cs="宋体"/>
          <w:color w:val="000000"/>
          <w:kern w:val="0"/>
          <w:sz w:val="32"/>
          <w:szCs w:val="32"/>
        </w:rPr>
      </w:pPr>
      <w:bookmarkStart w:id="46" w:name="_Toc27068"/>
      <w:bookmarkStart w:id="47" w:name="_Toc10187"/>
      <w:bookmarkStart w:id="48" w:name="_Toc19818"/>
      <w:bookmarkStart w:id="49" w:name="_Toc35588428"/>
      <w:bookmarkStart w:id="50" w:name="_Toc5376"/>
      <w:r>
        <w:rPr>
          <w:rFonts w:ascii="黑体" w:eastAsia="黑体" w:hAnsi="黑体" w:cs="宋体"/>
          <w:color w:val="000000"/>
          <w:kern w:val="0"/>
          <w:sz w:val="32"/>
          <w:szCs w:val="32"/>
        </w:rPr>
        <w:t>七、其他需要说明的问题</w:t>
      </w:r>
      <w:bookmarkEnd w:id="46"/>
      <w:bookmarkEnd w:id="47"/>
      <w:bookmarkEnd w:id="48"/>
      <w:bookmarkEnd w:id="49"/>
      <w:bookmarkEnd w:id="50"/>
    </w:p>
    <w:p w:rsidR="000F2FBD" w:rsidRDefault="000F2FBD" w:rsidP="000F2FBD">
      <w:pPr>
        <w:pStyle w:val="a4"/>
        <w:ind w:firstLineChars="200" w:firstLine="560"/>
        <w:rPr>
          <w:rFonts w:ascii="仿宋_GB2312" w:eastAsia="仿宋_GB2312"/>
          <w:sz w:val="28"/>
          <w:szCs w:val="28"/>
        </w:rPr>
      </w:pPr>
      <w:r>
        <w:rPr>
          <w:rFonts w:ascii="仿宋_GB2312" w:eastAsia="仿宋_GB2312"/>
          <w:sz w:val="28"/>
          <w:szCs w:val="28"/>
        </w:rPr>
        <w:t>无</w:t>
      </w:r>
    </w:p>
    <w:p w:rsidR="000F2FBD" w:rsidRDefault="000F2FBD" w:rsidP="000F2FBD">
      <w:pPr>
        <w:pStyle w:val="a0"/>
        <w:ind w:firstLine="420"/>
        <w:rPr>
          <w:rFonts w:hint="eastAsia"/>
        </w:rPr>
      </w:pPr>
    </w:p>
    <w:p w:rsidR="000F2FBD" w:rsidRDefault="000F2FBD" w:rsidP="000F2FBD">
      <w:pPr>
        <w:pStyle w:val="a0"/>
        <w:ind w:firstLine="420"/>
        <w:rPr>
          <w:rFonts w:hint="eastAsia"/>
        </w:rPr>
      </w:pPr>
    </w:p>
    <w:p w:rsidR="000F2FBD" w:rsidRDefault="000F2FBD" w:rsidP="000F2FBD">
      <w:pPr>
        <w:pStyle w:val="a0"/>
        <w:ind w:firstLine="420"/>
        <w:rPr>
          <w:rFonts w:hint="eastAsia"/>
        </w:rPr>
      </w:pPr>
    </w:p>
    <w:p w:rsidR="000F2FBD" w:rsidRDefault="000F2FBD" w:rsidP="000F2FBD">
      <w:pPr>
        <w:pStyle w:val="a0"/>
        <w:ind w:firstLine="420"/>
      </w:pPr>
    </w:p>
    <w:p w:rsidR="000F2FBD" w:rsidRDefault="000F2FBD" w:rsidP="000F2FBD">
      <w:pPr>
        <w:adjustRightInd w:val="0"/>
        <w:snapToGrid w:val="0"/>
        <w:spacing w:line="360" w:lineRule="auto"/>
        <w:ind w:firstLineChars="200" w:firstLine="562"/>
        <w:rPr>
          <w:rFonts w:ascii="仿宋_GB2312" w:eastAsia="仿宋_GB2312" w:hAnsi="仿宋_GB2312" w:cs="仿宋_GB2312" w:hint="eastAsia"/>
          <w:color w:val="000000"/>
          <w:kern w:val="0"/>
          <w:sz w:val="28"/>
          <w:szCs w:val="28"/>
        </w:rPr>
      </w:pPr>
      <w:bookmarkStart w:id="51" w:name="_Toc42609590"/>
      <w:bookmarkStart w:id="52" w:name="_Toc336506978"/>
      <w:bookmarkStart w:id="53" w:name="_Toc336506912"/>
      <w:r>
        <w:rPr>
          <w:rFonts w:ascii="仿宋_GB2312" w:eastAsia="仿宋_GB2312" w:hAnsi="仿宋_GB2312" w:cs="仿宋_GB2312" w:hint="eastAsia"/>
          <w:b/>
          <w:color w:val="000000"/>
          <w:kern w:val="0"/>
          <w:sz w:val="28"/>
          <w:szCs w:val="28"/>
        </w:rPr>
        <w:t>附件</w:t>
      </w:r>
      <w:bookmarkEnd w:id="51"/>
      <w:bookmarkEnd w:id="52"/>
      <w:bookmarkEnd w:id="53"/>
      <w:r>
        <w:rPr>
          <w:rFonts w:ascii="仿宋_GB2312" w:eastAsia="仿宋_GB2312" w:hAnsi="仿宋_GB2312" w:cs="仿宋_GB2312" w:hint="eastAsia"/>
          <w:b/>
          <w:color w:val="000000"/>
          <w:kern w:val="0"/>
          <w:sz w:val="28"/>
          <w:szCs w:val="28"/>
        </w:rPr>
        <w:t>：</w:t>
      </w:r>
      <w:r>
        <w:rPr>
          <w:rFonts w:ascii="仿宋_GB2312" w:eastAsia="仿宋_GB2312" w:hAnsi="仿宋_GB2312" w:cs="仿宋_GB2312"/>
          <w:color w:val="000000"/>
          <w:kern w:val="0"/>
          <w:sz w:val="28"/>
          <w:szCs w:val="28"/>
        </w:rPr>
        <w:t>中国共产党北京市委员会党校2022年部门整体绩效评价指标体系评分表</w:t>
      </w:r>
    </w:p>
    <w:p w:rsidR="000F2FBD" w:rsidRDefault="000F2FBD" w:rsidP="000F2FBD">
      <w:pPr>
        <w:pStyle w:val="a0"/>
        <w:ind w:firstLine="420"/>
        <w:rPr>
          <w:rFonts w:hint="eastAsia"/>
        </w:rPr>
      </w:pPr>
    </w:p>
    <w:p w:rsidR="000F2FBD" w:rsidRDefault="000F2FBD" w:rsidP="000F2FBD">
      <w:pPr>
        <w:pStyle w:val="a0"/>
        <w:ind w:firstLine="420"/>
        <w:rPr>
          <w:rFonts w:hint="eastAsia"/>
        </w:rPr>
      </w:pPr>
    </w:p>
    <w:p w:rsidR="000F2FBD" w:rsidRDefault="000F2FBD" w:rsidP="000F2FBD">
      <w:pPr>
        <w:pStyle w:val="a0"/>
        <w:ind w:firstLine="420"/>
        <w:rPr>
          <w:rFonts w:hint="eastAsia"/>
        </w:rPr>
      </w:pPr>
    </w:p>
    <w:p w:rsidR="000F2FBD" w:rsidRDefault="000F2FBD" w:rsidP="000F2FBD">
      <w:pPr>
        <w:pStyle w:val="a0"/>
        <w:ind w:firstLine="420"/>
        <w:rPr>
          <w:rFonts w:hint="eastAsia"/>
        </w:rPr>
      </w:pPr>
    </w:p>
    <w:p w:rsidR="000F2FBD" w:rsidRDefault="000F2FBD" w:rsidP="000F2FBD">
      <w:pPr>
        <w:pStyle w:val="a0"/>
        <w:ind w:firstLine="420"/>
        <w:rPr>
          <w:rFonts w:hint="eastAsia"/>
        </w:rPr>
      </w:pPr>
    </w:p>
    <w:tbl>
      <w:tblPr>
        <w:tblW w:w="13060" w:type="dxa"/>
        <w:jc w:val="center"/>
        <w:tblLook w:val="0000"/>
      </w:tblPr>
      <w:tblGrid>
        <w:gridCol w:w="816"/>
        <w:gridCol w:w="816"/>
        <w:gridCol w:w="939"/>
        <w:gridCol w:w="77"/>
        <w:gridCol w:w="1016"/>
        <w:gridCol w:w="816"/>
        <w:gridCol w:w="740"/>
        <w:gridCol w:w="740"/>
        <w:gridCol w:w="1451"/>
        <w:gridCol w:w="2531"/>
        <w:gridCol w:w="142"/>
        <w:gridCol w:w="2976"/>
      </w:tblGrid>
      <w:tr w:rsidR="000F2FBD" w:rsidTr="001F6B1A">
        <w:trPr>
          <w:trHeight w:val="600"/>
          <w:jc w:val="center"/>
        </w:trPr>
        <w:tc>
          <w:tcPr>
            <w:tcW w:w="13060" w:type="dxa"/>
            <w:gridSpan w:val="12"/>
            <w:tcBorders>
              <w:top w:val="nil"/>
              <w:left w:val="nil"/>
              <w:bottom w:val="nil"/>
              <w:right w:val="nil"/>
            </w:tcBorders>
            <w:noWrap/>
            <w:vAlign w:val="bottom"/>
          </w:tcPr>
          <w:p w:rsidR="000F2FBD" w:rsidRDefault="000F2FBD" w:rsidP="001F6B1A">
            <w:pPr>
              <w:widowControl/>
              <w:jc w:val="center"/>
              <w:rPr>
                <w:rFonts w:ascii="黑体" w:eastAsia="黑体" w:hAnsi="黑体" w:cs="宋体" w:hint="eastAsia"/>
                <w:b/>
                <w:bCs/>
                <w:color w:val="000000"/>
                <w:kern w:val="0"/>
                <w:sz w:val="32"/>
                <w:szCs w:val="32"/>
              </w:rPr>
            </w:pPr>
            <w:bookmarkStart w:id="54" w:name="RANGE!A2:J35"/>
          </w:p>
          <w:p w:rsidR="000F2FBD" w:rsidRDefault="000F2FBD" w:rsidP="001F6B1A">
            <w:pPr>
              <w:widowControl/>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中国共产党北京市委员会党校2022年部门整体绩效评价指标体系评分表</w:t>
            </w:r>
            <w:bookmarkEnd w:id="54"/>
          </w:p>
        </w:tc>
      </w:tr>
      <w:tr w:rsidR="000F2FBD" w:rsidTr="001F6B1A">
        <w:trPr>
          <w:trHeight w:val="582"/>
          <w:jc w:val="center"/>
        </w:trPr>
        <w:tc>
          <w:tcPr>
            <w:tcW w:w="13060" w:type="dxa"/>
            <w:gridSpan w:val="12"/>
            <w:tcBorders>
              <w:top w:val="single" w:sz="4" w:space="0" w:color="auto"/>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一、当年预算执行情况（20分）</w:t>
            </w:r>
          </w:p>
        </w:tc>
      </w:tr>
      <w:tr w:rsidR="000F2FBD" w:rsidTr="001F6B1A">
        <w:trPr>
          <w:trHeight w:val="559"/>
          <w:jc w:val="center"/>
        </w:trPr>
        <w:tc>
          <w:tcPr>
            <w:tcW w:w="816" w:type="dxa"/>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 xml:space="preserve">一级指标　</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二级指标　</w:t>
            </w:r>
          </w:p>
        </w:tc>
        <w:tc>
          <w:tcPr>
            <w:tcW w:w="1016"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预算数（万元）</w:t>
            </w:r>
          </w:p>
        </w:tc>
        <w:tc>
          <w:tcPr>
            <w:tcW w:w="10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执行数（万元）</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预算执行率</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指标解释</w:t>
            </w:r>
          </w:p>
        </w:tc>
        <w:tc>
          <w:tcPr>
            <w:tcW w:w="267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评分标准</w:t>
            </w:r>
          </w:p>
        </w:tc>
        <w:tc>
          <w:tcPr>
            <w:tcW w:w="297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0F2FBD" w:rsidTr="001F6B1A">
        <w:trPr>
          <w:trHeight w:val="1099"/>
          <w:jc w:val="center"/>
        </w:trPr>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当年预算执行情况（20）</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资金总体</w:t>
            </w:r>
          </w:p>
        </w:tc>
        <w:tc>
          <w:tcPr>
            <w:tcW w:w="1016" w:type="dxa"/>
            <w:gridSpan w:val="2"/>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32280.57</w:t>
            </w:r>
          </w:p>
        </w:tc>
        <w:tc>
          <w:tcPr>
            <w:tcW w:w="1016"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27343.47</w:t>
            </w:r>
          </w:p>
        </w:tc>
        <w:tc>
          <w:tcPr>
            <w:tcW w:w="816"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84.71%</w:t>
            </w:r>
          </w:p>
        </w:tc>
        <w:tc>
          <w:tcPr>
            <w:tcW w:w="740" w:type="dxa"/>
            <w:vMerge w:val="restart"/>
            <w:tcBorders>
              <w:top w:val="nil"/>
              <w:left w:val="single" w:sz="4" w:space="0" w:color="auto"/>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740" w:type="dxa"/>
            <w:vMerge w:val="restart"/>
            <w:tcBorders>
              <w:top w:val="nil"/>
              <w:left w:val="single" w:sz="4" w:space="0" w:color="auto"/>
              <w:bottom w:val="single" w:sz="4" w:space="0" w:color="000000"/>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16.94 </w:t>
            </w:r>
          </w:p>
        </w:tc>
        <w:tc>
          <w:tcPr>
            <w:tcW w:w="1451"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部门全年执行数与全年预算数的比率。资金总体=基本支出+项目支出+其他</w:t>
            </w:r>
          </w:p>
        </w:tc>
        <w:tc>
          <w:tcPr>
            <w:tcW w:w="2673" w:type="dxa"/>
            <w:gridSpan w:val="2"/>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①得分一档最高不能超过该指标分值上限（20分）。</w:t>
            </w:r>
            <w:r>
              <w:rPr>
                <w:rFonts w:ascii="宋体" w:hAnsi="宋体" w:cs="宋体" w:hint="eastAsia"/>
                <w:color w:val="000000"/>
                <w:kern w:val="0"/>
                <w:sz w:val="20"/>
                <w:szCs w:val="20"/>
              </w:rPr>
              <w:b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c>
          <w:tcPr>
            <w:tcW w:w="297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0F2FBD" w:rsidTr="001F6B1A">
        <w:trPr>
          <w:trHeight w:val="1099"/>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基本支出</w:t>
            </w:r>
          </w:p>
        </w:tc>
        <w:tc>
          <w:tcPr>
            <w:tcW w:w="1016" w:type="dxa"/>
            <w:gridSpan w:val="2"/>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18871.73</w:t>
            </w:r>
          </w:p>
        </w:tc>
        <w:tc>
          <w:tcPr>
            <w:tcW w:w="1016"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18094.05</w:t>
            </w:r>
          </w:p>
        </w:tc>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740"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000000"/>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1451"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2673" w:type="dxa"/>
            <w:gridSpan w:val="2"/>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297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r>
      <w:tr w:rsidR="000F2FBD" w:rsidTr="001F6B1A">
        <w:trPr>
          <w:trHeight w:val="1099"/>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项目支出</w:t>
            </w:r>
          </w:p>
        </w:tc>
        <w:tc>
          <w:tcPr>
            <w:tcW w:w="1016" w:type="dxa"/>
            <w:gridSpan w:val="2"/>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13408.84</w:t>
            </w:r>
          </w:p>
        </w:tc>
        <w:tc>
          <w:tcPr>
            <w:tcW w:w="1016"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9249.42</w:t>
            </w: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000000"/>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1451"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2673" w:type="dxa"/>
            <w:gridSpan w:val="2"/>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297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r>
      <w:tr w:rsidR="000F2FBD" w:rsidTr="001F6B1A">
        <w:trPr>
          <w:trHeight w:val="1099"/>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c>
          <w:tcPr>
            <w:tcW w:w="1016"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10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000000"/>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1451"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2673" w:type="dxa"/>
            <w:gridSpan w:val="2"/>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297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r>
      <w:tr w:rsidR="000F2FBD" w:rsidTr="001F6B1A">
        <w:trPr>
          <w:trHeight w:val="582"/>
          <w:jc w:val="center"/>
        </w:trPr>
        <w:tc>
          <w:tcPr>
            <w:tcW w:w="13060" w:type="dxa"/>
            <w:gridSpan w:val="12"/>
            <w:tcBorders>
              <w:top w:val="single" w:sz="4" w:space="0" w:color="auto"/>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二、整体绩效目标实现情况（60分）</w:t>
            </w:r>
          </w:p>
        </w:tc>
      </w:tr>
      <w:tr w:rsidR="000F2FBD" w:rsidTr="001F6B1A">
        <w:trPr>
          <w:trHeight w:val="559"/>
          <w:jc w:val="center"/>
        </w:trPr>
        <w:tc>
          <w:tcPr>
            <w:tcW w:w="816" w:type="dxa"/>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二级指标　</w:t>
            </w: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三级指标　</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指标值</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完成值</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指标解释</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评分标准</w:t>
            </w:r>
          </w:p>
        </w:tc>
        <w:tc>
          <w:tcPr>
            <w:tcW w:w="3118"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0F2FBD" w:rsidTr="001F6B1A">
        <w:trPr>
          <w:trHeight w:val="1440"/>
          <w:jc w:val="center"/>
        </w:trPr>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整体绩效目标实现情况（60）</w:t>
            </w:r>
          </w:p>
        </w:tc>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产出（30）</w:t>
            </w: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kern w:val="0"/>
                <w:sz w:val="20"/>
                <w:szCs w:val="20"/>
              </w:rPr>
            </w:pPr>
            <w:r>
              <w:rPr>
                <w:rFonts w:ascii="宋体" w:hAnsi="宋体" w:cs="宋体" w:hint="eastAsia"/>
                <w:kern w:val="0"/>
                <w:sz w:val="20"/>
                <w:szCs w:val="20"/>
              </w:rPr>
              <w:t>教学培训方面</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3.53 </w:t>
            </w:r>
          </w:p>
        </w:tc>
        <w:tc>
          <w:tcPr>
            <w:tcW w:w="1451"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产出数量</w:t>
            </w:r>
            <w:r>
              <w:rPr>
                <w:rFonts w:ascii="宋体" w:hAnsi="宋体" w:cs="宋体" w:hint="eastAsia"/>
                <w:color w:val="000000"/>
                <w:kern w:val="0"/>
                <w:sz w:val="20"/>
                <w:szCs w:val="20"/>
              </w:rPr>
              <w:t>：计划完成率=（实际完成工作数/计划工作数）×100%。实际完成工作数：一定时期（年度或规划期）</w:t>
            </w:r>
            <w:r>
              <w:rPr>
                <w:rFonts w:ascii="宋体" w:hAnsi="宋体" w:cs="宋体" w:hint="eastAsia"/>
                <w:color w:val="000000"/>
                <w:kern w:val="0"/>
                <w:sz w:val="20"/>
                <w:szCs w:val="20"/>
              </w:rPr>
              <w:lastRenderedPageBreak/>
              <w:t>内部门（单位）实际完成工作任务所涉及的指标数量。计划工作数：部门（单位）整体绩效目标确定的一定时期（年度或规划期）内预计完成工作任务所涉及的指标数量。</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lastRenderedPageBreak/>
              <w:t>得分＝实际完成率*5分，超过5分的按5分计。</w:t>
            </w:r>
          </w:p>
        </w:tc>
        <w:tc>
          <w:tcPr>
            <w:tcW w:w="3118" w:type="dxa"/>
            <w:gridSpan w:val="2"/>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①部分培训班次受疫情和组织部调训影响班次、人数减少；</w:t>
            </w:r>
            <w:r>
              <w:rPr>
                <w:rFonts w:ascii="宋体" w:hAnsi="宋体" w:cs="宋体" w:hint="eastAsia"/>
                <w:color w:val="000000"/>
                <w:kern w:val="0"/>
                <w:sz w:val="20"/>
                <w:szCs w:val="20"/>
              </w:rPr>
              <w:br/>
              <w:t>②受疫情影响，无法开展异地教学及调研活动。</w:t>
            </w:r>
          </w:p>
        </w:tc>
      </w:tr>
      <w:tr w:rsidR="000F2FBD" w:rsidTr="001F6B1A">
        <w:trPr>
          <w:trHeight w:val="1219"/>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科学研究方面</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4.00 </w:t>
            </w:r>
          </w:p>
        </w:tc>
        <w:tc>
          <w:tcPr>
            <w:tcW w:w="1451"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得分＝实际完成率*5分，超过5分的按5分计。</w:t>
            </w:r>
          </w:p>
        </w:tc>
        <w:tc>
          <w:tcPr>
            <w:tcW w:w="3118" w:type="dxa"/>
            <w:gridSpan w:val="2"/>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①受疫情影响，“第十四届环渤海区域合作与发展党校论坛”推迟至2023年召开；</w:t>
            </w:r>
            <w:r>
              <w:rPr>
                <w:rFonts w:ascii="宋体" w:hAnsi="宋体" w:cs="宋体" w:hint="eastAsia"/>
                <w:color w:val="000000"/>
                <w:kern w:val="0"/>
                <w:sz w:val="20"/>
                <w:szCs w:val="20"/>
              </w:rPr>
              <w:br w:type="page"/>
              <w:t>②受疫情影响，进站博士后人数未达到招生计划。</w:t>
            </w:r>
          </w:p>
        </w:tc>
      </w:tr>
    </w:tbl>
    <w:tbl>
      <w:tblPr>
        <w:tblStyle w:val="a"/>
        <w:tblW w:w="13060" w:type="dxa"/>
        <w:jc w:val="center"/>
        <w:tblLook w:val="0000"/>
      </w:tblPr>
      <w:tblGrid>
        <w:gridCol w:w="816"/>
        <w:gridCol w:w="816"/>
        <w:gridCol w:w="939"/>
        <w:gridCol w:w="77"/>
        <w:gridCol w:w="1016"/>
        <w:gridCol w:w="816"/>
        <w:gridCol w:w="740"/>
        <w:gridCol w:w="740"/>
        <w:gridCol w:w="1451"/>
        <w:gridCol w:w="2531"/>
        <w:gridCol w:w="3118"/>
      </w:tblGrid>
      <w:tr w:rsidR="000F2FBD" w:rsidTr="001F6B1A">
        <w:trPr>
          <w:trHeight w:val="2862"/>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决策咨询课题研究方面</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4.14 </w:t>
            </w:r>
          </w:p>
        </w:tc>
        <w:tc>
          <w:tcPr>
            <w:tcW w:w="1451"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得分＝实际完成率*5分，超过5分的按5分计。</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①根据图书馆十四五规划及学校“六个一流”建设目标，进一步优化馆藏，合理配置报刊订购结构，调整中文报刊订购种类与数量，剔除了部分利用率较低的报刊类目；</w:t>
            </w:r>
            <w:r>
              <w:rPr>
                <w:rFonts w:ascii="宋体" w:hAnsi="宋体" w:cs="宋体" w:hint="eastAsia"/>
                <w:kern w:val="0"/>
                <w:sz w:val="20"/>
                <w:szCs w:val="20"/>
              </w:rPr>
              <w:br/>
              <w:t>②个别书稿获得了更高层次的资助项目，资助数量未达预期；</w:t>
            </w:r>
            <w:r>
              <w:rPr>
                <w:rFonts w:ascii="宋体" w:hAnsi="宋体" w:cs="宋体" w:hint="eastAsia"/>
                <w:kern w:val="0"/>
                <w:sz w:val="20"/>
                <w:szCs w:val="20"/>
              </w:rPr>
              <w:br/>
              <w:t>③北京市第十七届哲学社会科学优秀成果奖延期启动，故未开展相关评审工作；</w:t>
            </w:r>
            <w:r>
              <w:rPr>
                <w:rFonts w:ascii="宋体" w:hAnsi="宋体" w:cs="宋体" w:hint="eastAsia"/>
                <w:kern w:val="0"/>
                <w:sz w:val="20"/>
                <w:szCs w:val="20"/>
              </w:rPr>
              <w:br/>
              <w:t>④北京干部教育报疫情原因，原定出版19期，实际完成17期；</w:t>
            </w:r>
            <w:r>
              <w:rPr>
                <w:rFonts w:ascii="宋体" w:hAnsi="宋体" w:cs="宋体" w:hint="eastAsia"/>
                <w:kern w:val="0"/>
                <w:sz w:val="20"/>
                <w:szCs w:val="20"/>
              </w:rPr>
              <w:br/>
              <w:t>⑤原定项目成果获批示16篇，4项项目成果未获得领导批示，经专家评审后结项。</w:t>
            </w:r>
          </w:p>
        </w:tc>
      </w:tr>
      <w:tr w:rsidR="000F2FBD" w:rsidTr="001F6B1A">
        <w:trPr>
          <w:trHeight w:val="1699"/>
          <w:jc w:val="center"/>
        </w:trPr>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续上页</w:t>
            </w:r>
          </w:p>
        </w:tc>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续上页</w:t>
            </w: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教学保障方面</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3.50 </w:t>
            </w:r>
          </w:p>
        </w:tc>
        <w:tc>
          <w:tcPr>
            <w:tcW w:w="1451"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续上页</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得分＝实际完成率*5分，超过5分的按5分计。</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①受疫情影响，图书展选活动、阅读之星评比活动、文</w:t>
            </w:r>
            <w:proofErr w:type="gramStart"/>
            <w:r>
              <w:rPr>
                <w:rFonts w:ascii="宋体" w:hAnsi="宋体" w:cs="宋体" w:hint="eastAsia"/>
                <w:color w:val="000000"/>
                <w:kern w:val="0"/>
                <w:sz w:val="20"/>
                <w:szCs w:val="20"/>
              </w:rPr>
              <w:t>创产品</w:t>
            </w:r>
            <w:proofErr w:type="gramEnd"/>
            <w:r>
              <w:rPr>
                <w:rFonts w:ascii="宋体" w:hAnsi="宋体" w:cs="宋体" w:hint="eastAsia"/>
                <w:color w:val="000000"/>
                <w:kern w:val="0"/>
                <w:sz w:val="20"/>
                <w:szCs w:val="20"/>
              </w:rPr>
              <w:t>制作工作未能开展；</w:t>
            </w:r>
            <w:r>
              <w:rPr>
                <w:rFonts w:ascii="宋体" w:hAnsi="宋体" w:cs="宋体" w:hint="eastAsia"/>
                <w:color w:val="000000"/>
                <w:kern w:val="0"/>
                <w:sz w:val="20"/>
                <w:szCs w:val="20"/>
              </w:rPr>
              <w:br w:type="page"/>
              <w:t>②需要付费编目图书数量减少，并且编目数据单价提升，原计划采编数据4000条实际完成1253条；</w:t>
            </w:r>
            <w:r>
              <w:rPr>
                <w:rFonts w:ascii="宋体" w:hAnsi="宋体" w:cs="宋体" w:hint="eastAsia"/>
                <w:color w:val="000000"/>
                <w:kern w:val="0"/>
                <w:sz w:val="20"/>
                <w:szCs w:val="20"/>
              </w:rPr>
              <w:br w:type="page"/>
              <w:t>③受疫情影响，物资采集、接待人员人次受到一定程度的影响。</w:t>
            </w:r>
          </w:p>
        </w:tc>
      </w:tr>
      <w:tr w:rsidR="000F2FBD" w:rsidTr="001F6B1A">
        <w:trPr>
          <w:trHeight w:val="799"/>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机构运行保障</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4.00 </w:t>
            </w:r>
          </w:p>
        </w:tc>
        <w:tc>
          <w:tcPr>
            <w:tcW w:w="1451"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得分＝实际完成率*4分，超过4分的按4分计。</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0F2FBD" w:rsidTr="001F6B1A">
        <w:trPr>
          <w:trHeight w:val="2082"/>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kern w:val="0"/>
                <w:sz w:val="20"/>
                <w:szCs w:val="20"/>
              </w:rPr>
            </w:pPr>
            <w:r>
              <w:rPr>
                <w:rFonts w:ascii="宋体" w:hAnsi="宋体" w:cs="宋体" w:hint="eastAsia"/>
                <w:kern w:val="0"/>
                <w:sz w:val="20"/>
                <w:szCs w:val="20"/>
              </w:rPr>
              <w:t>各项工作完成质量</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有效完成</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有效完成</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2.00 </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产出质量：</w:t>
            </w:r>
            <w:r>
              <w:rPr>
                <w:rFonts w:ascii="宋体" w:hAnsi="宋体" w:cs="宋体" w:hint="eastAsia"/>
                <w:color w:val="000000"/>
                <w:kern w:val="0"/>
                <w:sz w:val="20"/>
                <w:szCs w:val="20"/>
              </w:rPr>
              <w:t>质量达标率=质量达标工作数/实际完成工作数×100%。质量达标工作数：一定时期（年度或规划期）内部门（单位）实际完成工作数中达到部门绩效目标要求（绩效标准值）的工作任务数量。</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按完成情况划分为基本达成、部分实现、实现程度较低三个档次,根据指标实际完成情况合理确定得分。</w:t>
            </w:r>
            <w:r>
              <w:rPr>
                <w:rFonts w:ascii="宋体" w:hAnsi="宋体" w:cs="宋体" w:hint="eastAsia"/>
                <w:kern w:val="0"/>
                <w:sz w:val="20"/>
                <w:szCs w:val="20"/>
              </w:rPr>
              <w:br/>
              <w:t>基本达成的，得[1.8,2]分；</w:t>
            </w:r>
            <w:r>
              <w:rPr>
                <w:rFonts w:ascii="宋体" w:hAnsi="宋体" w:cs="宋体" w:hint="eastAsia"/>
                <w:kern w:val="0"/>
                <w:sz w:val="20"/>
                <w:szCs w:val="20"/>
              </w:rPr>
              <w:br/>
              <w:t>部分实现，得[1.2,1.8)分；</w:t>
            </w:r>
            <w:r>
              <w:rPr>
                <w:rFonts w:ascii="宋体" w:hAnsi="宋体" w:cs="宋体" w:hint="eastAsia"/>
                <w:kern w:val="0"/>
                <w:sz w:val="20"/>
                <w:szCs w:val="20"/>
              </w:rPr>
              <w:br/>
              <w:t>实现程度较低，得[0,1.2)分。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0F2FBD" w:rsidTr="001F6B1A">
        <w:trPr>
          <w:trHeight w:val="1560"/>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kern w:val="0"/>
                <w:sz w:val="20"/>
                <w:szCs w:val="20"/>
              </w:rPr>
            </w:pPr>
            <w:r>
              <w:rPr>
                <w:rFonts w:ascii="宋体" w:hAnsi="宋体" w:cs="宋体" w:hint="eastAsia"/>
                <w:kern w:val="0"/>
                <w:sz w:val="20"/>
                <w:szCs w:val="20"/>
              </w:rPr>
              <w:t>产出完成</w:t>
            </w:r>
            <w:r>
              <w:rPr>
                <w:rFonts w:ascii="宋体" w:hAnsi="宋体" w:cs="宋体" w:hint="eastAsia"/>
                <w:kern w:val="0"/>
                <w:sz w:val="20"/>
                <w:szCs w:val="20"/>
              </w:rPr>
              <w:br/>
              <w:t>及时性</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有效控制</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较有效控制</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1.80 </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b/>
                <w:bCs/>
                <w:kern w:val="0"/>
                <w:sz w:val="20"/>
                <w:szCs w:val="20"/>
              </w:rPr>
            </w:pPr>
            <w:r>
              <w:rPr>
                <w:rFonts w:ascii="宋体" w:hAnsi="宋体" w:cs="宋体" w:hint="eastAsia"/>
                <w:b/>
                <w:bCs/>
                <w:kern w:val="0"/>
                <w:sz w:val="20"/>
                <w:szCs w:val="20"/>
              </w:rPr>
              <w:t>产出进度</w:t>
            </w:r>
            <w:r>
              <w:rPr>
                <w:rFonts w:ascii="宋体" w:hAnsi="宋体" w:cs="宋体" w:hint="eastAsia"/>
                <w:kern w:val="0"/>
                <w:sz w:val="20"/>
                <w:szCs w:val="20"/>
              </w:rPr>
              <w:t>：完成及时性指工作任务实际完成时间与计划完成时间的比较，用以反映和考核工作任务产出时效目标的实现程度。</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按完成情况划分为基本达成、部分实现、实现程度较低三个档次,根据指标实际完成情况合理确定得分。</w:t>
            </w:r>
            <w:r>
              <w:rPr>
                <w:rFonts w:ascii="宋体" w:hAnsi="宋体" w:cs="宋体" w:hint="eastAsia"/>
                <w:kern w:val="0"/>
                <w:sz w:val="20"/>
                <w:szCs w:val="20"/>
              </w:rPr>
              <w:br/>
              <w:t>基本达成的，得[1.8,2]分；</w:t>
            </w:r>
            <w:r>
              <w:rPr>
                <w:rFonts w:ascii="宋体" w:hAnsi="宋体" w:cs="宋体" w:hint="eastAsia"/>
                <w:kern w:val="0"/>
                <w:sz w:val="20"/>
                <w:szCs w:val="20"/>
              </w:rPr>
              <w:br/>
              <w:t>部分实现，得[1.2,1.8)分；</w:t>
            </w:r>
            <w:r>
              <w:rPr>
                <w:rFonts w:ascii="宋体" w:hAnsi="宋体" w:cs="宋体" w:hint="eastAsia"/>
                <w:kern w:val="0"/>
                <w:sz w:val="20"/>
                <w:szCs w:val="20"/>
              </w:rPr>
              <w:br/>
              <w:t>实现程度较低，得[0,1.2)分。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受疫情影响，部分培训、论坛等工作滞后。</w:t>
            </w:r>
          </w:p>
        </w:tc>
      </w:tr>
      <w:tr w:rsidR="000F2FBD" w:rsidTr="001F6B1A">
        <w:trPr>
          <w:trHeight w:val="1560"/>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kern w:val="0"/>
                <w:sz w:val="20"/>
                <w:szCs w:val="20"/>
              </w:rPr>
            </w:pPr>
            <w:r>
              <w:rPr>
                <w:rFonts w:ascii="宋体" w:hAnsi="宋体" w:cs="宋体" w:hint="eastAsia"/>
                <w:kern w:val="0"/>
                <w:sz w:val="20"/>
                <w:szCs w:val="20"/>
              </w:rPr>
              <w:t>成本控制</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有效控制成本</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有效控制成本</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2.00 </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b/>
                <w:bCs/>
                <w:kern w:val="0"/>
                <w:sz w:val="20"/>
                <w:szCs w:val="20"/>
              </w:rPr>
            </w:pPr>
            <w:r>
              <w:rPr>
                <w:rFonts w:ascii="宋体" w:hAnsi="宋体" w:cs="宋体" w:hint="eastAsia"/>
                <w:b/>
                <w:bCs/>
                <w:kern w:val="0"/>
                <w:sz w:val="20"/>
                <w:szCs w:val="20"/>
              </w:rPr>
              <w:t>产出成本：</w:t>
            </w:r>
            <w:r>
              <w:rPr>
                <w:rFonts w:ascii="宋体" w:hAnsi="宋体" w:cs="宋体" w:hint="eastAsia"/>
                <w:kern w:val="0"/>
                <w:sz w:val="20"/>
                <w:szCs w:val="20"/>
              </w:rPr>
              <w:t>①单位产出相对于上一年度的节约额；②单位产出相对于市场同类产出的节约额；③部门公用经费的控制情况。</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按完成情况划分为基本达成、部分实现、实现程度较低三个档次,根据指标实际完成情况合理确定得分。</w:t>
            </w:r>
            <w:r>
              <w:rPr>
                <w:rFonts w:ascii="宋体" w:hAnsi="宋体" w:cs="宋体" w:hint="eastAsia"/>
                <w:kern w:val="0"/>
                <w:sz w:val="20"/>
                <w:szCs w:val="20"/>
              </w:rPr>
              <w:br/>
              <w:t>基本达成的，得[1.8,2]分；</w:t>
            </w:r>
            <w:r>
              <w:rPr>
                <w:rFonts w:ascii="宋体" w:hAnsi="宋体" w:cs="宋体" w:hint="eastAsia"/>
                <w:kern w:val="0"/>
                <w:sz w:val="20"/>
                <w:szCs w:val="20"/>
              </w:rPr>
              <w:br/>
              <w:t>部分实现，得[1.2,1.8)分；</w:t>
            </w:r>
            <w:r>
              <w:rPr>
                <w:rFonts w:ascii="宋体" w:hAnsi="宋体" w:cs="宋体" w:hint="eastAsia"/>
                <w:kern w:val="0"/>
                <w:sz w:val="20"/>
                <w:szCs w:val="20"/>
              </w:rPr>
              <w:br/>
              <w:t>实现程度较低，得[0,1.2)分。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0F2FBD" w:rsidTr="001F6B1A">
        <w:trPr>
          <w:trHeight w:val="691"/>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效果（30）</w:t>
            </w: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kern w:val="0"/>
                <w:sz w:val="20"/>
                <w:szCs w:val="20"/>
              </w:rPr>
            </w:pPr>
            <w:r>
              <w:rPr>
                <w:rFonts w:ascii="宋体" w:hAnsi="宋体" w:cs="宋体" w:hint="eastAsia"/>
                <w:kern w:val="0"/>
                <w:sz w:val="20"/>
                <w:szCs w:val="20"/>
              </w:rPr>
              <w:t>提升学员理论修养、党性修养，提高政治能力和</w:t>
            </w:r>
            <w:proofErr w:type="gramStart"/>
            <w:r>
              <w:rPr>
                <w:rFonts w:ascii="宋体" w:hAnsi="宋体" w:cs="宋体" w:hint="eastAsia"/>
                <w:kern w:val="0"/>
                <w:sz w:val="20"/>
                <w:szCs w:val="20"/>
              </w:rPr>
              <w:t>履职能</w:t>
            </w:r>
            <w:proofErr w:type="gramEnd"/>
            <w:r>
              <w:rPr>
                <w:rFonts w:ascii="宋体" w:hAnsi="宋体" w:cs="宋体" w:hint="eastAsia"/>
                <w:kern w:val="0"/>
                <w:sz w:val="20"/>
                <w:szCs w:val="20"/>
              </w:rPr>
              <w:t>力</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有效提升</w:t>
            </w:r>
          </w:p>
        </w:tc>
        <w:tc>
          <w:tcPr>
            <w:tcW w:w="816"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较有效</w:t>
            </w:r>
          </w:p>
        </w:tc>
        <w:tc>
          <w:tcPr>
            <w:tcW w:w="740"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4.70</w:t>
            </w:r>
          </w:p>
        </w:tc>
        <w:tc>
          <w:tcPr>
            <w:tcW w:w="1451"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社会效益：</w:t>
            </w:r>
            <w:r>
              <w:rPr>
                <w:rFonts w:ascii="宋体" w:hAnsi="宋体" w:cs="宋体" w:hint="eastAsia"/>
                <w:color w:val="000000"/>
                <w:kern w:val="0"/>
                <w:sz w:val="20"/>
                <w:szCs w:val="20"/>
              </w:rPr>
              <w:t>部门（单位）履行职责对社会发展所带来的直接或间接影响。</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按完成情况划分为基本达成、部分实现、实现程度较低三个档次,根据指标实际完成情况合理确定得分。</w:t>
            </w:r>
            <w:r>
              <w:rPr>
                <w:rFonts w:ascii="宋体" w:hAnsi="宋体" w:cs="宋体" w:hint="eastAsia"/>
                <w:kern w:val="0"/>
                <w:sz w:val="20"/>
                <w:szCs w:val="20"/>
              </w:rPr>
              <w:br w:type="page"/>
              <w:t>基本达成的，得[4,5]分；</w:t>
            </w:r>
            <w:r>
              <w:rPr>
                <w:rFonts w:ascii="宋体" w:hAnsi="宋体" w:cs="宋体" w:hint="eastAsia"/>
                <w:kern w:val="0"/>
                <w:sz w:val="20"/>
                <w:szCs w:val="20"/>
              </w:rPr>
              <w:br w:type="page"/>
              <w:t>部分实现，得[3,4)分；</w:t>
            </w:r>
            <w:r>
              <w:rPr>
                <w:rFonts w:ascii="宋体" w:hAnsi="宋体" w:cs="宋体" w:hint="eastAsia"/>
                <w:kern w:val="0"/>
                <w:sz w:val="20"/>
                <w:szCs w:val="20"/>
              </w:rPr>
              <w:br w:type="page"/>
              <w:t>实现程度较低，得[0,3)分。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受疫情影响，培训班次及时长减少，每班次培训人数受到限制，教学培训的实施效果受到一定程度的影响。</w:t>
            </w:r>
          </w:p>
        </w:tc>
      </w:tr>
      <w:tr w:rsidR="000F2FBD" w:rsidTr="001F6B1A">
        <w:trPr>
          <w:trHeight w:val="1560"/>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kern w:val="0"/>
                <w:sz w:val="20"/>
                <w:szCs w:val="20"/>
              </w:rPr>
            </w:pPr>
            <w:r>
              <w:rPr>
                <w:rFonts w:ascii="宋体" w:hAnsi="宋体" w:cs="宋体" w:hint="eastAsia"/>
                <w:kern w:val="0"/>
                <w:sz w:val="20"/>
                <w:szCs w:val="20"/>
              </w:rPr>
              <w:t>推进学科建设发展，扩大学术影响力，提高科研水平</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有效扩大影响</w:t>
            </w:r>
          </w:p>
        </w:tc>
        <w:tc>
          <w:tcPr>
            <w:tcW w:w="816"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较有效</w:t>
            </w:r>
          </w:p>
        </w:tc>
        <w:tc>
          <w:tcPr>
            <w:tcW w:w="740"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4.90 </w:t>
            </w:r>
          </w:p>
        </w:tc>
        <w:tc>
          <w:tcPr>
            <w:tcW w:w="1451"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按完成情况划分为基本达成、部分实现、实现程度较低三个档次,根据指标实际完成情况合理确定得分。</w:t>
            </w:r>
            <w:r>
              <w:rPr>
                <w:rFonts w:ascii="宋体" w:hAnsi="宋体" w:cs="宋体" w:hint="eastAsia"/>
                <w:kern w:val="0"/>
                <w:sz w:val="20"/>
                <w:szCs w:val="20"/>
              </w:rPr>
              <w:br/>
              <w:t>基本达成的，得[4,5]分；</w:t>
            </w:r>
            <w:r>
              <w:rPr>
                <w:rFonts w:ascii="宋体" w:hAnsi="宋体" w:cs="宋体" w:hint="eastAsia"/>
                <w:kern w:val="0"/>
                <w:sz w:val="20"/>
                <w:szCs w:val="20"/>
              </w:rPr>
              <w:br/>
              <w:t>部分实现，得[3,4)分；</w:t>
            </w:r>
            <w:r>
              <w:rPr>
                <w:rFonts w:ascii="宋体" w:hAnsi="宋体" w:cs="宋体" w:hint="eastAsia"/>
                <w:kern w:val="0"/>
                <w:sz w:val="20"/>
                <w:szCs w:val="20"/>
              </w:rPr>
              <w:br/>
              <w:t>实现程度较低，得[0,3)分。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受疫情影响，部分研讨会推迟召开，扩大学术影响力受到一定影响</w:t>
            </w:r>
          </w:p>
        </w:tc>
      </w:tr>
      <w:tr w:rsidR="000F2FBD" w:rsidTr="001F6B1A">
        <w:trPr>
          <w:trHeight w:val="1560"/>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kern w:val="0"/>
                <w:sz w:val="20"/>
                <w:szCs w:val="20"/>
              </w:rPr>
            </w:pPr>
            <w:r>
              <w:rPr>
                <w:rFonts w:ascii="宋体" w:hAnsi="宋体" w:cs="宋体" w:hint="eastAsia"/>
                <w:kern w:val="0"/>
                <w:sz w:val="20"/>
                <w:szCs w:val="20"/>
              </w:rPr>
              <w:t>为市委、市政府提供决策咨询服务，发挥首都新型高端</w:t>
            </w:r>
            <w:proofErr w:type="gramStart"/>
            <w:r>
              <w:rPr>
                <w:rFonts w:ascii="宋体" w:hAnsi="宋体" w:cs="宋体" w:hint="eastAsia"/>
                <w:kern w:val="0"/>
                <w:sz w:val="20"/>
                <w:szCs w:val="20"/>
              </w:rPr>
              <w:t>智库作用</w:t>
            </w:r>
            <w:proofErr w:type="gramEnd"/>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有效发挥作用</w:t>
            </w:r>
          </w:p>
        </w:tc>
        <w:tc>
          <w:tcPr>
            <w:tcW w:w="816"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较有效</w:t>
            </w:r>
          </w:p>
        </w:tc>
        <w:tc>
          <w:tcPr>
            <w:tcW w:w="740"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4.90 </w:t>
            </w:r>
          </w:p>
        </w:tc>
        <w:tc>
          <w:tcPr>
            <w:tcW w:w="1451"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按完成情况划分为基本达成、部分实现、实现程度较低三个档次,根据指标实际完成情况合理确定得分。</w:t>
            </w:r>
            <w:r>
              <w:rPr>
                <w:rFonts w:ascii="宋体" w:hAnsi="宋体" w:cs="宋体" w:hint="eastAsia"/>
                <w:kern w:val="0"/>
                <w:sz w:val="20"/>
                <w:szCs w:val="20"/>
              </w:rPr>
              <w:br/>
              <w:t>基本达成的，得[4,5]分；</w:t>
            </w:r>
            <w:r>
              <w:rPr>
                <w:rFonts w:ascii="宋体" w:hAnsi="宋体" w:cs="宋体" w:hint="eastAsia"/>
                <w:kern w:val="0"/>
                <w:sz w:val="20"/>
                <w:szCs w:val="20"/>
              </w:rPr>
              <w:br/>
              <w:t>部分实现，得[3,4)分；</w:t>
            </w:r>
            <w:r>
              <w:rPr>
                <w:rFonts w:ascii="宋体" w:hAnsi="宋体" w:cs="宋体" w:hint="eastAsia"/>
                <w:kern w:val="0"/>
                <w:sz w:val="20"/>
                <w:szCs w:val="20"/>
              </w:rPr>
              <w:br/>
              <w:t>实现程度较低，得[0,3)分。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个别评审工作、资助工作受疫情影响推迟完成。</w:t>
            </w:r>
          </w:p>
        </w:tc>
      </w:tr>
      <w:tr w:rsidR="000F2FBD" w:rsidTr="001F6B1A">
        <w:trPr>
          <w:trHeight w:val="1560"/>
          <w:jc w:val="center"/>
        </w:trPr>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续上页</w:t>
            </w:r>
          </w:p>
        </w:tc>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续上页</w:t>
            </w: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kern w:val="0"/>
                <w:sz w:val="20"/>
                <w:szCs w:val="20"/>
              </w:rPr>
            </w:pPr>
            <w:r>
              <w:rPr>
                <w:rFonts w:ascii="宋体" w:hAnsi="宋体" w:cs="宋体" w:hint="eastAsia"/>
                <w:kern w:val="0"/>
                <w:sz w:val="20"/>
                <w:szCs w:val="20"/>
              </w:rPr>
              <w:t>持续提升党校后勤、安保服务保障能力及信息化水平</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提供有效保障</w:t>
            </w:r>
          </w:p>
        </w:tc>
        <w:tc>
          <w:tcPr>
            <w:tcW w:w="816"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w:t>
            </w:r>
          </w:p>
        </w:tc>
        <w:tc>
          <w:tcPr>
            <w:tcW w:w="740"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 </w:t>
            </w:r>
          </w:p>
        </w:tc>
        <w:tc>
          <w:tcPr>
            <w:tcW w:w="1451"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续上页</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按完成情况划分为基本达成、部分实现、实现程度较低三个档次,根据指标实际完成情况合理确定得分。</w:t>
            </w:r>
            <w:r>
              <w:rPr>
                <w:rFonts w:ascii="宋体" w:hAnsi="宋体" w:cs="宋体" w:hint="eastAsia"/>
                <w:kern w:val="0"/>
                <w:sz w:val="20"/>
                <w:szCs w:val="20"/>
              </w:rPr>
              <w:br w:type="page"/>
              <w:t>基本达成的，得[4,5]分；</w:t>
            </w:r>
            <w:r>
              <w:rPr>
                <w:rFonts w:ascii="宋体" w:hAnsi="宋体" w:cs="宋体" w:hint="eastAsia"/>
                <w:kern w:val="0"/>
                <w:sz w:val="20"/>
                <w:szCs w:val="20"/>
              </w:rPr>
              <w:br w:type="page"/>
              <w:t>部分实现，得[3,4)分；</w:t>
            </w:r>
            <w:r>
              <w:rPr>
                <w:rFonts w:ascii="宋体" w:hAnsi="宋体" w:cs="宋体" w:hint="eastAsia"/>
                <w:kern w:val="0"/>
                <w:sz w:val="20"/>
                <w:szCs w:val="20"/>
              </w:rPr>
              <w:br w:type="page"/>
              <w:t>实现程度较低，得[0,3)分。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0F2FBD" w:rsidTr="001F6B1A">
        <w:trPr>
          <w:trHeight w:val="1560"/>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kern w:val="0"/>
                <w:sz w:val="20"/>
                <w:szCs w:val="20"/>
              </w:rPr>
            </w:pPr>
            <w:r>
              <w:rPr>
                <w:rFonts w:ascii="宋体" w:hAnsi="宋体" w:cs="宋体" w:hint="eastAsia"/>
                <w:kern w:val="0"/>
                <w:sz w:val="20"/>
                <w:szCs w:val="20"/>
              </w:rPr>
              <w:t>消除安全隐患，保障网络安全，教职工和学员安全</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有效消除</w:t>
            </w:r>
          </w:p>
        </w:tc>
        <w:tc>
          <w:tcPr>
            <w:tcW w:w="816"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w:t>
            </w:r>
          </w:p>
        </w:tc>
        <w:tc>
          <w:tcPr>
            <w:tcW w:w="740"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 </w:t>
            </w:r>
          </w:p>
        </w:tc>
        <w:tc>
          <w:tcPr>
            <w:tcW w:w="1451"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按完成情况划分为基本达成、部分实现、实现程度较低三个档次,根据指标实际完成情况合理确定得分。</w:t>
            </w:r>
            <w:r>
              <w:rPr>
                <w:rFonts w:ascii="宋体" w:hAnsi="宋体" w:cs="宋体" w:hint="eastAsia"/>
                <w:kern w:val="0"/>
                <w:sz w:val="20"/>
                <w:szCs w:val="20"/>
              </w:rPr>
              <w:br/>
              <w:t>基本达成的，得[4,5]分；</w:t>
            </w:r>
            <w:r>
              <w:rPr>
                <w:rFonts w:ascii="宋体" w:hAnsi="宋体" w:cs="宋体" w:hint="eastAsia"/>
                <w:kern w:val="0"/>
                <w:sz w:val="20"/>
                <w:szCs w:val="20"/>
              </w:rPr>
              <w:br/>
              <w:t>部分实现，得[3,4)分；</w:t>
            </w:r>
            <w:r>
              <w:rPr>
                <w:rFonts w:ascii="宋体" w:hAnsi="宋体" w:cs="宋体" w:hint="eastAsia"/>
                <w:kern w:val="0"/>
                <w:sz w:val="20"/>
                <w:szCs w:val="20"/>
              </w:rPr>
              <w:br/>
              <w:t>实现程度较低，得[0,3)分。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0F2FBD" w:rsidTr="001F6B1A">
        <w:trPr>
          <w:trHeight w:val="1560"/>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939"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kern w:val="0"/>
                <w:sz w:val="20"/>
                <w:szCs w:val="20"/>
              </w:rPr>
            </w:pPr>
            <w:r>
              <w:rPr>
                <w:rFonts w:ascii="宋体" w:hAnsi="宋体" w:cs="宋体" w:hint="eastAsia"/>
                <w:kern w:val="0"/>
                <w:sz w:val="20"/>
                <w:szCs w:val="20"/>
              </w:rPr>
              <w:t>满意度</w:t>
            </w:r>
          </w:p>
        </w:tc>
        <w:tc>
          <w:tcPr>
            <w:tcW w:w="1093"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满意</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满意</w:t>
            </w:r>
          </w:p>
        </w:tc>
        <w:tc>
          <w:tcPr>
            <w:tcW w:w="740"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4.70 </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服务对象满意度：</w:t>
            </w:r>
            <w:r>
              <w:rPr>
                <w:rFonts w:ascii="宋体" w:hAnsi="宋体" w:cs="宋体" w:hint="eastAsia"/>
                <w:color w:val="000000"/>
                <w:kern w:val="0"/>
                <w:sz w:val="20"/>
                <w:szCs w:val="20"/>
              </w:rPr>
              <w:t>部门（单位）的服务对象对部门履职效果的满意程度。</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教职工和学员满意度较高，得[4,5]分；</w:t>
            </w:r>
            <w:r>
              <w:rPr>
                <w:rFonts w:ascii="宋体" w:hAnsi="宋体" w:cs="宋体" w:hint="eastAsia"/>
                <w:kern w:val="0"/>
                <w:sz w:val="20"/>
                <w:szCs w:val="20"/>
              </w:rPr>
              <w:br/>
              <w:t>教职工和学员满意度一般，得[3,4)分；</w:t>
            </w:r>
            <w:r>
              <w:rPr>
                <w:rFonts w:ascii="宋体" w:hAnsi="宋体" w:cs="宋体" w:hint="eastAsia"/>
                <w:kern w:val="0"/>
                <w:sz w:val="20"/>
                <w:szCs w:val="20"/>
              </w:rPr>
              <w:br/>
              <w:t>教职工和学员满意度较差，得[0,3)分。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部分重点工作内容</w:t>
            </w:r>
            <w:proofErr w:type="gramStart"/>
            <w:r>
              <w:rPr>
                <w:rFonts w:ascii="宋体" w:hAnsi="宋体" w:cs="宋体" w:hint="eastAsia"/>
                <w:color w:val="000000"/>
                <w:kern w:val="0"/>
                <w:sz w:val="20"/>
                <w:szCs w:val="20"/>
              </w:rPr>
              <w:t>未服务</w:t>
            </w:r>
            <w:proofErr w:type="gramEnd"/>
            <w:r>
              <w:rPr>
                <w:rFonts w:ascii="宋体" w:hAnsi="宋体" w:cs="宋体" w:hint="eastAsia"/>
                <w:color w:val="000000"/>
                <w:kern w:val="0"/>
                <w:sz w:val="20"/>
                <w:szCs w:val="20"/>
              </w:rPr>
              <w:t>对象及时开展正向的满意</w:t>
            </w:r>
            <w:proofErr w:type="gramStart"/>
            <w:r>
              <w:rPr>
                <w:rFonts w:ascii="宋体" w:hAnsi="宋体" w:cs="宋体" w:hint="eastAsia"/>
                <w:color w:val="000000"/>
                <w:kern w:val="0"/>
                <w:sz w:val="20"/>
                <w:szCs w:val="20"/>
              </w:rPr>
              <w:t>度统计</w:t>
            </w:r>
            <w:proofErr w:type="gramEnd"/>
            <w:r>
              <w:rPr>
                <w:rFonts w:ascii="宋体" w:hAnsi="宋体" w:cs="宋体" w:hint="eastAsia"/>
                <w:color w:val="000000"/>
                <w:kern w:val="0"/>
                <w:sz w:val="20"/>
                <w:szCs w:val="20"/>
              </w:rPr>
              <w:t>调查。</w:t>
            </w:r>
          </w:p>
        </w:tc>
      </w:tr>
      <w:tr w:rsidR="000F2FBD" w:rsidTr="001F6B1A">
        <w:trPr>
          <w:trHeight w:val="582"/>
          <w:jc w:val="center"/>
        </w:trPr>
        <w:tc>
          <w:tcPr>
            <w:tcW w:w="13060" w:type="dxa"/>
            <w:gridSpan w:val="11"/>
            <w:tcBorders>
              <w:top w:val="single" w:sz="4" w:space="0" w:color="auto"/>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三、预算管理情况（20分）</w:t>
            </w:r>
          </w:p>
        </w:tc>
      </w:tr>
      <w:tr w:rsidR="000F2FBD" w:rsidTr="001F6B1A">
        <w:trPr>
          <w:trHeight w:val="559"/>
          <w:jc w:val="center"/>
        </w:trPr>
        <w:tc>
          <w:tcPr>
            <w:tcW w:w="816" w:type="dxa"/>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1016"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10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指标值</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完成值</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指标解释</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评分标准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0F2FBD" w:rsidTr="001F6B1A">
        <w:trPr>
          <w:trHeight w:val="2640"/>
          <w:jc w:val="center"/>
        </w:trPr>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预算管理情况（20）</w:t>
            </w:r>
          </w:p>
        </w:tc>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财务管理（4）</w:t>
            </w:r>
          </w:p>
        </w:tc>
        <w:tc>
          <w:tcPr>
            <w:tcW w:w="1016"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财务管理制度健全性</w:t>
            </w:r>
          </w:p>
        </w:tc>
        <w:tc>
          <w:tcPr>
            <w:tcW w:w="10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健全</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较健全</w:t>
            </w:r>
          </w:p>
        </w:tc>
        <w:tc>
          <w:tcPr>
            <w:tcW w:w="740"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0.90 </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财务管理制度健全性:</w:t>
            </w:r>
            <w:r>
              <w:rPr>
                <w:rFonts w:ascii="宋体" w:hAnsi="宋体" w:cs="宋体" w:hint="eastAsia"/>
                <w:color w:val="000000"/>
                <w:kern w:val="0"/>
                <w:sz w:val="20"/>
                <w:szCs w:val="20"/>
              </w:rPr>
              <w:t>部门（单位）为加强财务管理、规范财务行为而制定的管理制度。</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①预算资金管理办法、绩效跟踪管理办法、资产管理办法等各项制度是否健全；</w:t>
            </w:r>
            <w:r>
              <w:rPr>
                <w:rFonts w:ascii="宋体" w:hAnsi="宋体" w:cs="宋体" w:hint="eastAsia"/>
                <w:color w:val="000000"/>
                <w:kern w:val="0"/>
                <w:sz w:val="20"/>
                <w:szCs w:val="20"/>
              </w:rPr>
              <w:br/>
              <w:t>②部门内部财务管理制度是否完整、合</w:t>
            </w:r>
            <w:proofErr w:type="gramStart"/>
            <w:r>
              <w:rPr>
                <w:rFonts w:ascii="宋体" w:hAnsi="宋体" w:cs="宋体" w:hint="eastAsia"/>
                <w:color w:val="000000"/>
                <w:kern w:val="0"/>
                <w:sz w:val="20"/>
                <w:szCs w:val="20"/>
              </w:rPr>
              <w:t>规</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③会计核算制度是否完整、合</w:t>
            </w:r>
            <w:proofErr w:type="gramStart"/>
            <w:r>
              <w:rPr>
                <w:rFonts w:ascii="宋体" w:hAnsi="宋体" w:cs="宋体" w:hint="eastAsia"/>
                <w:color w:val="000000"/>
                <w:kern w:val="0"/>
                <w:sz w:val="20"/>
                <w:szCs w:val="20"/>
              </w:rPr>
              <w:t>规</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基本健全的，得[0.8,1]分；</w:t>
            </w:r>
            <w:r>
              <w:rPr>
                <w:rFonts w:ascii="宋体" w:hAnsi="宋体" w:cs="宋体" w:hint="eastAsia"/>
                <w:color w:val="000000"/>
                <w:kern w:val="0"/>
                <w:sz w:val="20"/>
                <w:szCs w:val="20"/>
              </w:rPr>
              <w:br/>
              <w:t>部分健全，得[0.6,0.8)分；</w:t>
            </w:r>
            <w:r>
              <w:rPr>
                <w:rFonts w:ascii="宋体" w:hAnsi="宋体" w:cs="宋体" w:hint="eastAsia"/>
                <w:color w:val="000000"/>
                <w:kern w:val="0"/>
                <w:sz w:val="20"/>
                <w:szCs w:val="20"/>
              </w:rPr>
              <w:br/>
              <w:t>健全程度较低，得[0,0.6)分。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kern w:val="0"/>
                <w:sz w:val="20"/>
                <w:szCs w:val="20"/>
              </w:rPr>
            </w:pPr>
            <w:r>
              <w:rPr>
                <w:rFonts w:ascii="宋体" w:hAnsi="宋体" w:cs="宋体" w:hint="eastAsia"/>
                <w:kern w:val="0"/>
                <w:sz w:val="20"/>
                <w:szCs w:val="20"/>
              </w:rPr>
              <w:t>绩效管理体系仍有进一步优化的空间。</w:t>
            </w:r>
          </w:p>
        </w:tc>
      </w:tr>
      <w:tr w:rsidR="000F2FBD" w:rsidTr="001F6B1A">
        <w:trPr>
          <w:trHeight w:val="408"/>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1016"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资金使用合</w:t>
            </w:r>
            <w:proofErr w:type="gramStart"/>
            <w:r>
              <w:rPr>
                <w:rFonts w:ascii="宋体" w:hAnsi="宋体" w:cs="宋体" w:hint="eastAsia"/>
                <w:color w:val="000000"/>
                <w:kern w:val="0"/>
                <w:sz w:val="20"/>
                <w:szCs w:val="20"/>
              </w:rPr>
              <w:t>规</w:t>
            </w:r>
            <w:proofErr w:type="gramEnd"/>
            <w:r>
              <w:rPr>
                <w:rFonts w:ascii="宋体" w:hAnsi="宋体" w:cs="宋体" w:hint="eastAsia"/>
                <w:color w:val="000000"/>
                <w:kern w:val="0"/>
                <w:sz w:val="20"/>
                <w:szCs w:val="20"/>
              </w:rPr>
              <w:t>性和安全性</w:t>
            </w:r>
          </w:p>
        </w:tc>
        <w:tc>
          <w:tcPr>
            <w:tcW w:w="10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合</w:t>
            </w:r>
            <w:proofErr w:type="gramStart"/>
            <w:r>
              <w:rPr>
                <w:rFonts w:ascii="宋体" w:hAnsi="宋体" w:cs="宋体" w:hint="eastAsia"/>
                <w:color w:val="000000"/>
                <w:kern w:val="0"/>
                <w:sz w:val="20"/>
                <w:szCs w:val="20"/>
              </w:rPr>
              <w:t>规</w:t>
            </w:r>
            <w:proofErr w:type="gramEnd"/>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较合</w:t>
            </w:r>
            <w:proofErr w:type="gramStart"/>
            <w:r>
              <w:rPr>
                <w:rFonts w:ascii="宋体" w:hAnsi="宋体" w:cs="宋体" w:hint="eastAsia"/>
                <w:color w:val="000000"/>
                <w:kern w:val="0"/>
                <w:sz w:val="20"/>
                <w:szCs w:val="20"/>
              </w:rPr>
              <w:t>规</w:t>
            </w:r>
            <w:proofErr w:type="gramEnd"/>
          </w:p>
        </w:tc>
        <w:tc>
          <w:tcPr>
            <w:tcW w:w="740"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资金使用合</w:t>
            </w:r>
            <w:proofErr w:type="gramStart"/>
            <w:r>
              <w:rPr>
                <w:rFonts w:ascii="宋体" w:hAnsi="宋体" w:cs="宋体" w:hint="eastAsia"/>
                <w:b/>
                <w:bCs/>
                <w:color w:val="000000"/>
                <w:kern w:val="0"/>
                <w:sz w:val="20"/>
                <w:szCs w:val="20"/>
              </w:rPr>
              <w:t>规</w:t>
            </w:r>
            <w:proofErr w:type="gramEnd"/>
            <w:r>
              <w:rPr>
                <w:rFonts w:ascii="宋体" w:hAnsi="宋体" w:cs="宋体" w:hint="eastAsia"/>
                <w:b/>
                <w:bCs/>
                <w:color w:val="000000"/>
                <w:kern w:val="0"/>
                <w:sz w:val="20"/>
                <w:szCs w:val="20"/>
              </w:rPr>
              <w:t>性和安全性:</w:t>
            </w:r>
            <w:r>
              <w:rPr>
                <w:rFonts w:ascii="宋体" w:hAnsi="宋体" w:cs="宋体" w:hint="eastAsia"/>
                <w:color w:val="000000"/>
                <w:kern w:val="0"/>
                <w:sz w:val="20"/>
                <w:szCs w:val="20"/>
              </w:rPr>
              <w:t>部门（单位）使用预算资金是否符合相关的预算财务管理制度的规定，是否符合</w:t>
            </w:r>
            <w:r>
              <w:rPr>
                <w:rFonts w:ascii="宋体" w:hAnsi="宋体" w:cs="宋体" w:hint="eastAsia"/>
                <w:color w:val="000000"/>
                <w:kern w:val="0"/>
                <w:sz w:val="20"/>
                <w:szCs w:val="20"/>
              </w:rPr>
              <w:lastRenderedPageBreak/>
              <w:t>相关规定的开支范围，用以反映考核部门（单位）预算资金的规范运行和安全运行情况。</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①是否符合国家财经法规和财务管理制度规定以及有关专项资金管理办法的规定；②资金的拨付是否有完整的审批程序和手续；</w:t>
            </w:r>
            <w:r>
              <w:rPr>
                <w:rFonts w:ascii="宋体" w:hAnsi="宋体" w:cs="宋体" w:hint="eastAsia"/>
                <w:color w:val="000000"/>
                <w:kern w:val="0"/>
                <w:sz w:val="20"/>
                <w:szCs w:val="20"/>
              </w:rPr>
              <w:br w:type="page"/>
              <w:t>③项目的重大开支是否经过评估论证；</w:t>
            </w:r>
            <w:r>
              <w:rPr>
                <w:rFonts w:ascii="宋体" w:hAnsi="宋体" w:cs="宋体" w:hint="eastAsia"/>
                <w:color w:val="000000"/>
                <w:kern w:val="0"/>
                <w:sz w:val="20"/>
                <w:szCs w:val="20"/>
              </w:rPr>
              <w:br w:type="page"/>
              <w:t>④是否符合部门预算批复的用途；</w:t>
            </w:r>
            <w:r>
              <w:rPr>
                <w:rFonts w:ascii="宋体" w:hAnsi="宋体" w:cs="宋体" w:hint="eastAsia"/>
                <w:color w:val="000000"/>
                <w:kern w:val="0"/>
                <w:sz w:val="20"/>
                <w:szCs w:val="20"/>
              </w:rPr>
              <w:br w:type="page"/>
              <w:t>⑤是否存</w:t>
            </w:r>
            <w:r>
              <w:rPr>
                <w:rFonts w:ascii="宋体" w:hAnsi="宋体" w:cs="宋体" w:hint="eastAsia"/>
                <w:color w:val="000000"/>
                <w:kern w:val="0"/>
                <w:sz w:val="20"/>
                <w:szCs w:val="20"/>
              </w:rPr>
              <w:lastRenderedPageBreak/>
              <w:t>在截留、挤占、挪用情况；</w:t>
            </w:r>
            <w:r>
              <w:rPr>
                <w:rFonts w:ascii="宋体" w:hAnsi="宋体" w:cs="宋体" w:hint="eastAsia"/>
                <w:color w:val="000000"/>
                <w:kern w:val="0"/>
                <w:sz w:val="20"/>
                <w:szCs w:val="20"/>
              </w:rPr>
              <w:br w:type="page"/>
              <w:t>⑥资金使用是否符合政府采购的程序和流程；</w:t>
            </w:r>
            <w:r>
              <w:rPr>
                <w:rFonts w:ascii="宋体" w:hAnsi="宋体" w:cs="宋体" w:hint="eastAsia"/>
                <w:color w:val="000000"/>
                <w:kern w:val="0"/>
                <w:sz w:val="20"/>
                <w:szCs w:val="20"/>
              </w:rPr>
              <w:br w:type="page"/>
              <w:t>⑦资金使用是否符合公务卡结算相关制度和规定。每有一项不合格扣0.5分，扣完为止。</w:t>
            </w:r>
          </w:p>
        </w:tc>
        <w:tc>
          <w:tcPr>
            <w:tcW w:w="3118"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w:t>
            </w:r>
          </w:p>
        </w:tc>
      </w:tr>
      <w:tr w:rsidR="000F2FBD" w:rsidTr="001F6B1A">
        <w:trPr>
          <w:trHeight w:val="1800"/>
          <w:jc w:val="center"/>
        </w:trPr>
        <w:tc>
          <w:tcPr>
            <w:tcW w:w="816" w:type="dxa"/>
            <w:vMerge w:val="restart"/>
            <w:tcBorders>
              <w:top w:val="nil"/>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续上页</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续上页</w:t>
            </w:r>
          </w:p>
        </w:tc>
        <w:tc>
          <w:tcPr>
            <w:tcW w:w="1016"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会计基础信息完善性</w:t>
            </w:r>
          </w:p>
        </w:tc>
        <w:tc>
          <w:tcPr>
            <w:tcW w:w="10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完善</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信息完善</w:t>
            </w:r>
          </w:p>
        </w:tc>
        <w:tc>
          <w:tcPr>
            <w:tcW w:w="740"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1.00 </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会计基础信息完善性:</w:t>
            </w:r>
            <w:r>
              <w:rPr>
                <w:rFonts w:ascii="宋体" w:hAnsi="宋体" w:cs="宋体" w:hint="eastAsia"/>
                <w:color w:val="000000"/>
                <w:kern w:val="0"/>
                <w:sz w:val="20"/>
                <w:szCs w:val="20"/>
              </w:rPr>
              <w:t>部门（单位）会计基础信息情况。</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①基础数据信息和会计信息资料是否真实；</w:t>
            </w:r>
            <w:r>
              <w:rPr>
                <w:rFonts w:ascii="宋体" w:hAnsi="宋体" w:cs="宋体" w:hint="eastAsia"/>
                <w:color w:val="000000"/>
                <w:kern w:val="0"/>
                <w:sz w:val="20"/>
                <w:szCs w:val="20"/>
              </w:rPr>
              <w:br w:type="page"/>
              <w:t>②基础数据信息和会计信息资料是否完整；</w:t>
            </w:r>
            <w:r>
              <w:rPr>
                <w:rFonts w:ascii="宋体" w:hAnsi="宋体" w:cs="宋体" w:hint="eastAsia"/>
                <w:color w:val="000000"/>
                <w:kern w:val="0"/>
                <w:sz w:val="20"/>
                <w:szCs w:val="20"/>
              </w:rPr>
              <w:br w:type="page"/>
              <w:t>③基础数据信息和会计信息资料是否准确。每有一项不合格扣0.5分，扣完为止。</w:t>
            </w:r>
          </w:p>
        </w:tc>
        <w:tc>
          <w:tcPr>
            <w:tcW w:w="3118"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0F2FBD" w:rsidTr="001F6B1A">
        <w:trPr>
          <w:trHeight w:val="833"/>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资产管理（4）</w:t>
            </w:r>
          </w:p>
        </w:tc>
        <w:tc>
          <w:tcPr>
            <w:tcW w:w="1016"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资产管理规范性</w:t>
            </w:r>
          </w:p>
        </w:tc>
        <w:tc>
          <w:tcPr>
            <w:tcW w:w="10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规范</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合</w:t>
            </w:r>
            <w:proofErr w:type="gramStart"/>
            <w:r>
              <w:rPr>
                <w:rFonts w:ascii="宋体" w:hAnsi="宋体" w:cs="宋体" w:hint="eastAsia"/>
                <w:color w:val="000000"/>
                <w:kern w:val="0"/>
                <w:sz w:val="20"/>
                <w:szCs w:val="20"/>
              </w:rPr>
              <w:t>规</w:t>
            </w:r>
            <w:proofErr w:type="gramEnd"/>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4.00 </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资产管理规范性:</w:t>
            </w:r>
            <w:r>
              <w:rPr>
                <w:rFonts w:ascii="宋体" w:hAnsi="宋体" w:cs="宋体" w:hint="eastAsia"/>
                <w:color w:val="000000"/>
                <w:kern w:val="0"/>
                <w:sz w:val="20"/>
                <w:szCs w:val="20"/>
              </w:rPr>
              <w:t>部门（单位）的资产是否保持安全完整，资产配置是否合理，资产使用和资产处理是否规范，用以反映和考核部门（单位）资产管理的整体水平。</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①对外投资行为是否经审批，是否存在投资亏损；</w:t>
            </w:r>
            <w:r>
              <w:rPr>
                <w:rFonts w:ascii="宋体" w:hAnsi="宋体" w:cs="宋体" w:hint="eastAsia"/>
                <w:color w:val="000000"/>
                <w:kern w:val="0"/>
                <w:sz w:val="20"/>
                <w:szCs w:val="20"/>
              </w:rPr>
              <w:br/>
              <w:t>②是否有因管理不当发生严重资产损失和丢失情况；</w:t>
            </w:r>
            <w:r>
              <w:rPr>
                <w:rFonts w:ascii="宋体" w:hAnsi="宋体" w:cs="宋体" w:hint="eastAsia"/>
                <w:color w:val="000000"/>
                <w:kern w:val="0"/>
                <w:sz w:val="20"/>
                <w:szCs w:val="20"/>
              </w:rPr>
              <w:br/>
              <w:t>③是否存在超标准配置资产；</w:t>
            </w:r>
            <w:r>
              <w:rPr>
                <w:rFonts w:ascii="宋体" w:hAnsi="宋体" w:cs="宋体" w:hint="eastAsia"/>
                <w:color w:val="000000"/>
                <w:kern w:val="0"/>
                <w:sz w:val="20"/>
                <w:szCs w:val="20"/>
              </w:rPr>
              <w:br/>
              <w:t>④资产使用是否规范，是否存在未经批准擅自出租、出借资产行为；</w:t>
            </w:r>
            <w:r>
              <w:rPr>
                <w:rFonts w:ascii="宋体" w:hAnsi="宋体" w:cs="宋体" w:hint="eastAsia"/>
                <w:color w:val="000000"/>
                <w:kern w:val="0"/>
                <w:sz w:val="20"/>
                <w:szCs w:val="20"/>
              </w:rPr>
              <w:br/>
              <w:t>⑤资产处置是否规范，是否存在不按要求进行报批或资产不公开处置行为；</w:t>
            </w:r>
            <w:r>
              <w:rPr>
                <w:rFonts w:ascii="宋体" w:hAnsi="宋体" w:cs="宋体" w:hint="eastAsia"/>
                <w:color w:val="000000"/>
                <w:kern w:val="0"/>
                <w:sz w:val="20"/>
                <w:szCs w:val="20"/>
              </w:rPr>
              <w:br/>
              <w:t>⑥其它资产管理制度办法执行情况。每有一项不合格扣0.8分，扣完为止。</w:t>
            </w:r>
          </w:p>
        </w:tc>
        <w:tc>
          <w:tcPr>
            <w:tcW w:w="3118"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0F2FBD" w:rsidTr="001F6B1A">
        <w:trPr>
          <w:trHeight w:val="2640"/>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绩效管理（4）</w:t>
            </w:r>
          </w:p>
        </w:tc>
        <w:tc>
          <w:tcPr>
            <w:tcW w:w="1016" w:type="dxa"/>
            <w:gridSpan w:val="2"/>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绩效管理情况</w:t>
            </w:r>
          </w:p>
        </w:tc>
        <w:tc>
          <w:tcPr>
            <w:tcW w:w="10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良好</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良好</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3.60 </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绩效管理情况:</w:t>
            </w:r>
            <w:r>
              <w:rPr>
                <w:rFonts w:ascii="宋体" w:hAnsi="宋体" w:cs="宋体" w:hint="eastAsia"/>
                <w:color w:val="000000"/>
                <w:kern w:val="0"/>
                <w:sz w:val="20"/>
                <w:szCs w:val="20"/>
              </w:rPr>
              <w:t>考核部门（单位）在绩效管理信息的汇总和应用情况。</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①部门（单位）是否及时对绩效信息进行汇总分析整理；②部门（单位）是否对绩效目标偏离情况及时进行矫正。每有一项标准分2分。</w:t>
            </w:r>
            <w:r>
              <w:rPr>
                <w:rFonts w:ascii="宋体" w:hAnsi="宋体" w:cs="宋体" w:hint="eastAsia"/>
                <w:color w:val="000000"/>
                <w:kern w:val="0"/>
                <w:sz w:val="20"/>
                <w:szCs w:val="20"/>
              </w:rPr>
              <w:br/>
              <w:t>基本符合要求，得[1.6,2]分；</w:t>
            </w:r>
            <w:r>
              <w:rPr>
                <w:rFonts w:ascii="宋体" w:hAnsi="宋体" w:cs="宋体" w:hint="eastAsia"/>
                <w:color w:val="000000"/>
                <w:kern w:val="0"/>
                <w:sz w:val="20"/>
                <w:szCs w:val="20"/>
              </w:rPr>
              <w:br/>
              <w:t>部分符合要求，得[1.2,1.6)分；</w:t>
            </w:r>
            <w:r>
              <w:rPr>
                <w:rFonts w:ascii="宋体" w:hAnsi="宋体" w:cs="宋体" w:hint="eastAsia"/>
                <w:color w:val="000000"/>
                <w:kern w:val="0"/>
                <w:sz w:val="20"/>
                <w:szCs w:val="20"/>
              </w:rPr>
              <w:br/>
              <w:t>基本不符合要求，得[0,1.2)分。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项目支出绩效目标申报表填报质量有待提高。</w:t>
            </w:r>
          </w:p>
        </w:tc>
      </w:tr>
      <w:tr w:rsidR="000F2FBD" w:rsidTr="001F6B1A">
        <w:trPr>
          <w:trHeight w:val="240"/>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指标　</w:t>
            </w:r>
          </w:p>
        </w:tc>
        <w:tc>
          <w:tcPr>
            <w:tcW w:w="2032" w:type="dxa"/>
            <w:gridSpan w:val="3"/>
            <w:tcBorders>
              <w:top w:val="single" w:sz="4" w:space="0" w:color="auto"/>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816"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指标解释</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评分标准</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F2FBD" w:rsidTr="001F6B1A">
        <w:trPr>
          <w:trHeight w:val="2100"/>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tcBorders>
              <w:top w:val="nil"/>
              <w:left w:val="nil"/>
              <w:bottom w:val="single" w:sz="4" w:space="0" w:color="auto"/>
              <w:right w:val="single" w:sz="4" w:space="0" w:color="auto"/>
            </w:tcBorders>
            <w:vAlign w:val="center"/>
          </w:tcPr>
          <w:p w:rsidR="000F2FBD" w:rsidRDefault="000F2FBD" w:rsidP="001F6B1A">
            <w:pPr>
              <w:widowControl/>
              <w:rPr>
                <w:rFonts w:ascii="宋体" w:hAnsi="宋体" w:cs="宋体"/>
                <w:color w:val="000000"/>
                <w:kern w:val="0"/>
                <w:sz w:val="20"/>
                <w:szCs w:val="20"/>
              </w:rPr>
            </w:pPr>
            <w:r>
              <w:rPr>
                <w:rFonts w:ascii="宋体" w:hAnsi="宋体" w:cs="宋体" w:hint="eastAsia"/>
                <w:color w:val="000000"/>
                <w:kern w:val="0"/>
                <w:sz w:val="20"/>
                <w:szCs w:val="20"/>
              </w:rPr>
              <w:t>结转结余率（4）</w:t>
            </w:r>
          </w:p>
        </w:tc>
        <w:tc>
          <w:tcPr>
            <w:tcW w:w="2032" w:type="dxa"/>
            <w:gridSpan w:val="3"/>
            <w:tcBorders>
              <w:top w:val="single" w:sz="4" w:space="0" w:color="auto"/>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16.21%</w:t>
            </w:r>
          </w:p>
        </w:tc>
        <w:tc>
          <w:tcPr>
            <w:tcW w:w="816"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15.31%</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4.00 </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结转结余率=结转结余总额/支出预算数×100%。结转结余总额：部门（单位）本年度的结转资金与结余资金之</w:t>
            </w:r>
            <w:proofErr w:type="gramStart"/>
            <w:r>
              <w:rPr>
                <w:rFonts w:ascii="宋体" w:hAnsi="宋体" w:cs="宋体" w:hint="eastAsia"/>
                <w:color w:val="000000"/>
                <w:kern w:val="0"/>
                <w:sz w:val="20"/>
                <w:szCs w:val="20"/>
              </w:rPr>
              <w:t>和</w:t>
            </w:r>
            <w:proofErr w:type="gramEnd"/>
            <w:r>
              <w:rPr>
                <w:rFonts w:ascii="宋体" w:hAnsi="宋体" w:cs="宋体" w:hint="eastAsia"/>
                <w:color w:val="000000"/>
                <w:kern w:val="0"/>
                <w:sz w:val="20"/>
                <w:szCs w:val="20"/>
              </w:rPr>
              <w:t>。</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部门结转结余率低于上年的不扣分；高于上年结余率，每高出1个百分点扣0.4分，扣完为止。（说明：预算调整和结转结余指标，如</w:t>
            </w:r>
            <w:proofErr w:type="gramStart"/>
            <w:r>
              <w:rPr>
                <w:rFonts w:ascii="宋体" w:hAnsi="宋体" w:cs="宋体" w:hint="eastAsia"/>
                <w:color w:val="000000"/>
                <w:kern w:val="0"/>
                <w:sz w:val="20"/>
                <w:szCs w:val="20"/>
              </w:rPr>
              <w:t>非预算</w:t>
            </w:r>
            <w:proofErr w:type="gramEnd"/>
            <w:r>
              <w:rPr>
                <w:rFonts w:ascii="宋体" w:hAnsi="宋体" w:cs="宋体" w:hint="eastAsia"/>
                <w:color w:val="000000"/>
                <w:kern w:val="0"/>
                <w:sz w:val="20"/>
                <w:szCs w:val="20"/>
              </w:rPr>
              <w:t>部门主观因素导致扣分的，在评分结果征求意见环节，经与相关部门预算主管处室共同研究，可作为例外情况酌情考虑。）</w:t>
            </w:r>
          </w:p>
        </w:tc>
        <w:tc>
          <w:tcPr>
            <w:tcW w:w="3118"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0F2FBD" w:rsidTr="001F6B1A">
        <w:trPr>
          <w:trHeight w:val="1080"/>
          <w:jc w:val="center"/>
        </w:trPr>
        <w:tc>
          <w:tcPr>
            <w:tcW w:w="816" w:type="dxa"/>
            <w:vMerge/>
            <w:tcBorders>
              <w:top w:val="nil"/>
              <w:left w:val="single" w:sz="4" w:space="0" w:color="auto"/>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p>
        </w:tc>
        <w:tc>
          <w:tcPr>
            <w:tcW w:w="816" w:type="dxa"/>
            <w:tcBorders>
              <w:top w:val="nil"/>
              <w:left w:val="nil"/>
              <w:bottom w:val="single" w:sz="4" w:space="0" w:color="auto"/>
              <w:right w:val="single" w:sz="4" w:space="0" w:color="auto"/>
            </w:tcBorders>
            <w:vAlign w:val="center"/>
          </w:tcPr>
          <w:p w:rsidR="000F2FBD" w:rsidRDefault="000F2FBD" w:rsidP="001F6B1A">
            <w:pPr>
              <w:widowControl/>
              <w:rPr>
                <w:rFonts w:ascii="宋体" w:hAnsi="宋体" w:cs="宋体"/>
                <w:color w:val="000000"/>
                <w:kern w:val="0"/>
                <w:sz w:val="20"/>
                <w:szCs w:val="20"/>
              </w:rPr>
            </w:pPr>
            <w:r>
              <w:rPr>
                <w:rFonts w:ascii="宋体" w:hAnsi="宋体" w:cs="宋体" w:hint="eastAsia"/>
                <w:color w:val="000000"/>
                <w:kern w:val="0"/>
                <w:sz w:val="20"/>
                <w:szCs w:val="20"/>
              </w:rPr>
              <w:t>部门预决算差异率（4）</w:t>
            </w:r>
          </w:p>
        </w:tc>
        <w:tc>
          <w:tcPr>
            <w:tcW w:w="2032" w:type="dxa"/>
            <w:gridSpan w:val="3"/>
            <w:tcBorders>
              <w:top w:val="single" w:sz="4" w:space="0" w:color="auto"/>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16"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13.36%</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4.00 </w:t>
            </w:r>
          </w:p>
        </w:tc>
        <w:tc>
          <w:tcPr>
            <w:tcW w:w="145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通过年度部门决算与年初部门预算对比，对部门的年度支出情况进行考核，衡量部门预算的约束力。</w:t>
            </w:r>
          </w:p>
        </w:tc>
        <w:tc>
          <w:tcPr>
            <w:tcW w:w="2531" w:type="dxa"/>
            <w:tcBorders>
              <w:top w:val="nil"/>
              <w:left w:val="nil"/>
              <w:bottom w:val="single" w:sz="4" w:space="0" w:color="auto"/>
              <w:right w:val="single" w:sz="4" w:space="0" w:color="auto"/>
            </w:tcBorders>
            <w:vAlign w:val="center"/>
          </w:tcPr>
          <w:p w:rsidR="000F2FBD" w:rsidRDefault="000F2FBD" w:rsidP="001F6B1A">
            <w:pPr>
              <w:widowControl/>
              <w:jc w:val="left"/>
              <w:rPr>
                <w:rFonts w:ascii="宋体" w:hAnsi="宋体" w:cs="宋体"/>
                <w:color w:val="000000"/>
                <w:kern w:val="0"/>
                <w:sz w:val="20"/>
                <w:szCs w:val="20"/>
              </w:rPr>
            </w:pPr>
            <w:r>
              <w:rPr>
                <w:rFonts w:ascii="宋体" w:hAnsi="宋体" w:cs="宋体" w:hint="eastAsia"/>
                <w:color w:val="000000"/>
                <w:kern w:val="0"/>
                <w:sz w:val="20"/>
                <w:szCs w:val="20"/>
              </w:rPr>
              <w:t>部门预决算差异率高于市级平均差异率（28.3%）的，每高出10%（含），扣0.4分，扣完为止。</w:t>
            </w:r>
          </w:p>
        </w:tc>
        <w:tc>
          <w:tcPr>
            <w:tcW w:w="3118"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0F2FBD" w:rsidTr="001F6B1A">
        <w:trPr>
          <w:trHeight w:val="240"/>
          <w:jc w:val="center"/>
        </w:trPr>
        <w:tc>
          <w:tcPr>
            <w:tcW w:w="4480" w:type="dxa"/>
            <w:gridSpan w:val="6"/>
            <w:tcBorders>
              <w:top w:val="single" w:sz="4" w:space="0" w:color="auto"/>
              <w:left w:val="single" w:sz="4" w:space="0" w:color="auto"/>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740"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740" w:type="dxa"/>
            <w:tcBorders>
              <w:top w:val="nil"/>
              <w:left w:val="nil"/>
              <w:bottom w:val="single" w:sz="4" w:space="0" w:color="auto"/>
              <w:right w:val="single" w:sz="4" w:space="0" w:color="auto"/>
            </w:tcBorders>
            <w:noWrap/>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90.61 </w:t>
            </w:r>
          </w:p>
        </w:tc>
        <w:tc>
          <w:tcPr>
            <w:tcW w:w="3982" w:type="dxa"/>
            <w:gridSpan w:val="2"/>
            <w:tcBorders>
              <w:top w:val="single" w:sz="4" w:space="0" w:color="auto"/>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118" w:type="dxa"/>
            <w:tcBorders>
              <w:top w:val="nil"/>
              <w:left w:val="nil"/>
              <w:bottom w:val="single" w:sz="4" w:space="0" w:color="auto"/>
              <w:right w:val="single" w:sz="4" w:space="0" w:color="auto"/>
            </w:tcBorders>
            <w:vAlign w:val="center"/>
          </w:tcPr>
          <w:p w:rsidR="000F2FBD" w:rsidRDefault="000F2FBD" w:rsidP="001F6B1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E30402" w:rsidRDefault="009E7F55" w:rsidP="007A27C1">
      <w:pPr>
        <w:ind w:firstLine="420"/>
      </w:pPr>
    </w:p>
    <w:sectPr w:rsidR="00E30402" w:rsidSect="006637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2FBD"/>
    <w:rsid w:val="0002243B"/>
    <w:rsid w:val="000F2FBD"/>
    <w:rsid w:val="003D5854"/>
    <w:rsid w:val="0066377A"/>
    <w:rsid w:val="00717C69"/>
    <w:rsid w:val="007A27C1"/>
    <w:rsid w:val="009E7F55"/>
    <w:rsid w:val="00D257F8"/>
    <w:rsid w:val="00DE0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2FBD"/>
    <w:pPr>
      <w:widowControl w:val="0"/>
      <w:ind w:firstLineChars="0" w:firstLine="0"/>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F2FBD"/>
    <w:pPr>
      <w:ind w:firstLineChars="200" w:firstLine="200"/>
    </w:pPr>
  </w:style>
  <w:style w:type="paragraph" w:styleId="a4">
    <w:name w:val="Body Text"/>
    <w:basedOn w:val="a"/>
    <w:next w:val="a"/>
    <w:link w:val="a5"/>
    <w:uiPriority w:val="99"/>
    <w:unhideWhenUsed/>
    <w:qFormat/>
    <w:rsid w:val="000F2FBD"/>
    <w:pPr>
      <w:spacing w:after="120"/>
    </w:pPr>
    <w:rPr>
      <w:lang/>
    </w:rPr>
  </w:style>
  <w:style w:type="character" w:customStyle="1" w:styleId="Char">
    <w:name w:val="正文文本 Char"/>
    <w:basedOn w:val="a1"/>
    <w:link w:val="a4"/>
    <w:uiPriority w:val="99"/>
    <w:semiHidden/>
    <w:rsid w:val="000F2FBD"/>
    <w:rPr>
      <w:rFonts w:ascii="Times New Roman" w:eastAsia="宋体" w:hAnsi="Times New Roman" w:cs="Times New Roman"/>
      <w:szCs w:val="24"/>
    </w:rPr>
  </w:style>
  <w:style w:type="character" w:customStyle="1" w:styleId="a5">
    <w:name w:val="正文文本 字符"/>
    <w:link w:val="a4"/>
    <w:uiPriority w:val="99"/>
    <w:rsid w:val="000F2FBD"/>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2528</Words>
  <Characters>14411</Characters>
  <Application>Microsoft Office Word</Application>
  <DocSecurity>0</DocSecurity>
  <Lines>120</Lines>
  <Paragraphs>33</Paragraphs>
  <ScaleCrop>false</ScaleCrop>
  <Company/>
  <LinksUpToDate>false</LinksUpToDate>
  <CharactersWithSpaces>16906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2023-08-24T08:21:00Z</dcterms:created>
  <dcterms:modified xsi:type="dcterms:W3CDTF">2023-08-24T08:37:00Z</dcterms:modified>
</cp:coreProperties>
</file>