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36"/>
                <w:szCs w:val="36"/>
              </w:rPr>
              <w:t>中共北京市委党校202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36"/>
                <w:szCs w:val="36"/>
              </w:rPr>
              <w:t>年度</w:t>
            </w:r>
            <w:r>
              <w:rPr>
                <w:rFonts w:cs="宋体" w:asciiTheme="majorEastAsia" w:hAnsiTheme="majorEastAsia" w:eastAsiaTheme="majorEastAsia"/>
                <w:b/>
                <w:kern w:val="0"/>
                <w:sz w:val="36"/>
                <w:szCs w:val="36"/>
              </w:rPr>
              <w:t>公开遴选公务员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36"/>
                <w:szCs w:val="36"/>
              </w:rPr>
              <w:t xml:space="preserve">                 </w:t>
            </w:r>
            <w:r>
              <w:rPr>
                <w:rFonts w:cs="宋体" w:asciiTheme="majorEastAsia" w:hAnsiTheme="majorEastAsia" w:eastAsiaTheme="majorEastAsia"/>
                <w:b/>
                <w:kern w:val="0"/>
                <w:sz w:val="36"/>
                <w:szCs w:val="36"/>
              </w:rPr>
              <w:t>面试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36"/>
                <w:szCs w:val="36"/>
              </w:rPr>
              <w:t>和业务水平测试</w:t>
            </w:r>
            <w:r>
              <w:rPr>
                <w:rFonts w:cs="宋体" w:asciiTheme="majorEastAsia" w:hAnsiTheme="majorEastAsia" w:eastAsiaTheme="majorEastAsia"/>
                <w:b/>
                <w:kern w:val="0"/>
                <w:sz w:val="36"/>
                <w:szCs w:val="36"/>
              </w:rPr>
              <w:t>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ˎ̥" w:hAnsi="ˎ̥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spacing w:line="600" w:lineRule="exact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根据《北京市202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年度市级机关公开遴选公务员面试工作实施方案》要求，中共北京市委党校公开遴选公务员统一面试将于202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日进行，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现将面试有关事项公告如下：</w:t>
            </w:r>
          </w:p>
          <w:p>
            <w:pPr>
              <w:widowControl/>
              <w:snapToGrid w:val="0"/>
              <w:spacing w:line="600" w:lineRule="exact"/>
              <w:ind w:firstLine="642" w:firstLineChars="200"/>
              <w:jc w:val="left"/>
              <w:rPr>
                <w:rFonts w:ascii="黑体" w:hAnsi="黑体" w:eastAsia="黑体" w:cs="宋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sz w:val="32"/>
                <w:szCs w:val="32"/>
              </w:rPr>
              <w:t>一、面试确认</w:t>
            </w:r>
          </w:p>
          <w:p>
            <w:pPr>
              <w:widowControl/>
              <w:snapToGrid w:val="0"/>
              <w:spacing w:line="600" w:lineRule="exact"/>
              <w:ind w:firstLine="640" w:firstLineChars="20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请进入面试的考生保持手机通讯畅通，及时接听（接收）我校工作人员电话（短信），或主动与我们联系，确认是否参加面试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（面试人员名单见附件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</w:p>
          <w:p>
            <w:pPr>
              <w:widowControl/>
              <w:snapToGrid w:val="0"/>
              <w:spacing w:line="600" w:lineRule="exact"/>
              <w:ind w:firstLine="642" w:firstLineChars="200"/>
              <w:jc w:val="left"/>
              <w:rPr>
                <w:rFonts w:ascii="黑体" w:hAnsi="黑体" w:eastAsia="黑体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sz w:val="32"/>
                <w:szCs w:val="32"/>
              </w:rPr>
              <w:t>二、面试和业务水平测试安排</w:t>
            </w:r>
          </w:p>
          <w:p>
            <w:pPr>
              <w:widowControl/>
              <w:snapToGrid w:val="0"/>
              <w:spacing w:line="600" w:lineRule="exact"/>
              <w:ind w:firstLine="642" w:firstLineChars="20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（一）面试方式：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采取结构化面试方式。</w:t>
            </w:r>
          </w:p>
          <w:p>
            <w:pPr>
              <w:widowControl/>
              <w:snapToGrid w:val="0"/>
              <w:spacing w:line="600" w:lineRule="exact"/>
              <w:ind w:firstLine="642" w:firstLineChars="200"/>
              <w:jc w:val="left"/>
              <w:rPr>
                <w:rFonts w:ascii="仿宋" w:hAnsi="仿宋" w:eastAsia="仿宋" w:cs="宋体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（二）面试时间及地点：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日，面试地点为中共北京市委党校综合教学楼。</w:t>
            </w:r>
          </w:p>
          <w:p>
            <w:pPr>
              <w:widowControl/>
              <w:snapToGrid w:val="0"/>
              <w:spacing w:line="600" w:lineRule="exact"/>
              <w:ind w:firstLine="642" w:firstLineChars="200"/>
              <w:jc w:val="left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（三）注意事项：</w:t>
            </w:r>
          </w:p>
          <w:p>
            <w:pPr>
              <w:widowControl/>
              <w:snapToGrid w:val="0"/>
              <w:spacing w:line="600" w:lineRule="exact"/>
              <w:ind w:firstLine="642" w:firstLineChars="200"/>
              <w:jc w:val="left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上午面试的考生入闱封闭时间为</w:t>
            </w: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8:00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，考生</w:t>
            </w: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务必在上午8：00前到候考室报到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，否则将不得入场并取消面试资格。</w:t>
            </w:r>
          </w:p>
          <w:p>
            <w:pPr>
              <w:spacing w:line="540" w:lineRule="exact"/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2、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考生持本人有效居民身份证（或社保卡）原件进入候考室。  </w:t>
            </w:r>
          </w:p>
          <w:p>
            <w:pPr>
              <w:spacing w:line="540" w:lineRule="exact"/>
              <w:ind w:firstLine="640" w:firstLineChars="20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3、考生在考前进行自身健康状况监测，做好个人防护。面试当天考生须提交已签字的《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北京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地区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2022年度人事考试新冠肺炎疫情防控告知暨承诺书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》（附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件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）和考试前48小时内采样的核酸检测阴性证明进入考点。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jc w:val="left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（四）业务水平测试要求：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jc w:val="left"/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离退休干部工作处综合服务管理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岗位业务水平测试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采取笔试形式进行，请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考生携带黑色字迹签字笔参加考试。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笔试之后，根据考生提供的三年工作业绩报告，采取逐人面谈的形式，向考生核实了解相关情况。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jc w:val="left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/>
              </w:rPr>
              <w:t>其他要求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进入面试的人员须在面试前提交近三年工作业绩报告(1500字左右),请于11月16日下午3点前发至邮箱：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 w:eastAsia="仿宋_GB2312"/>
                <w:color w:val="000000"/>
                <w:sz w:val="32"/>
                <w:szCs w:val="32"/>
                <w:lang w:val="en-US" w:eastAsia="zh-CN"/>
              </w:rPr>
              <w:t>yangqing_rsc@bac.</w:t>
            </w:r>
            <w:bookmarkStart w:id="0" w:name="_GoBack"/>
            <w:bookmarkEnd w:id="0"/>
            <w:r>
              <w:rPr>
                <w:rFonts w:hint="default" w:eastAsia="仿宋_GB2312"/>
                <w:color w:val="000000"/>
                <w:sz w:val="32"/>
                <w:szCs w:val="32"/>
                <w:lang w:val="en-US" w:eastAsia="zh-CN"/>
              </w:rPr>
              <w:t>gov.cn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欢迎各位考生对我们的工作进行监督。</w:t>
            </w:r>
          </w:p>
          <w:p>
            <w:pPr>
              <w:widowControl/>
              <w:snapToGrid w:val="0"/>
              <w:spacing w:line="600" w:lineRule="exact"/>
              <w:ind w:firstLine="640" w:firstLineChars="20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联系人：杨清</w:t>
            </w:r>
          </w:p>
          <w:p>
            <w:pPr>
              <w:widowControl/>
              <w:snapToGrid w:val="0"/>
              <w:spacing w:line="600" w:lineRule="exact"/>
              <w:ind w:firstLine="640" w:firstLineChars="20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联系电话：68007024    18610808359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                           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ind w:firstLine="5280" w:firstLineChars="165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北京市委党校人事处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仿宋" w:hAnsi="仿宋" w:eastAsia="仿宋" w:cs="宋体"/>
                <w:spacing w:val="8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年11月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方正宋体S-超大字符集(SIP)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2DAA"/>
    <w:rsid w:val="000A2E11"/>
    <w:rsid w:val="000B2E61"/>
    <w:rsid w:val="000D1C8C"/>
    <w:rsid w:val="000D65AA"/>
    <w:rsid w:val="001120EE"/>
    <w:rsid w:val="001300A3"/>
    <w:rsid w:val="001326A5"/>
    <w:rsid w:val="001A4057"/>
    <w:rsid w:val="001E5391"/>
    <w:rsid w:val="002161D8"/>
    <w:rsid w:val="00244C78"/>
    <w:rsid w:val="002818EF"/>
    <w:rsid w:val="00305578"/>
    <w:rsid w:val="0032456F"/>
    <w:rsid w:val="00325974"/>
    <w:rsid w:val="003273B5"/>
    <w:rsid w:val="003644DC"/>
    <w:rsid w:val="0037101E"/>
    <w:rsid w:val="00371F29"/>
    <w:rsid w:val="00373029"/>
    <w:rsid w:val="004208D4"/>
    <w:rsid w:val="0042110B"/>
    <w:rsid w:val="00423D7B"/>
    <w:rsid w:val="00430835"/>
    <w:rsid w:val="00455E81"/>
    <w:rsid w:val="00482E98"/>
    <w:rsid w:val="004C574D"/>
    <w:rsid w:val="00515693"/>
    <w:rsid w:val="0052728B"/>
    <w:rsid w:val="00541F61"/>
    <w:rsid w:val="005455CF"/>
    <w:rsid w:val="00552FBD"/>
    <w:rsid w:val="00582DAA"/>
    <w:rsid w:val="00596643"/>
    <w:rsid w:val="00597791"/>
    <w:rsid w:val="005B0803"/>
    <w:rsid w:val="00645833"/>
    <w:rsid w:val="00650592"/>
    <w:rsid w:val="00654E15"/>
    <w:rsid w:val="00663777"/>
    <w:rsid w:val="00683938"/>
    <w:rsid w:val="006A27EC"/>
    <w:rsid w:val="006A43D1"/>
    <w:rsid w:val="006A5998"/>
    <w:rsid w:val="006E1237"/>
    <w:rsid w:val="007063E9"/>
    <w:rsid w:val="00707402"/>
    <w:rsid w:val="007C57F4"/>
    <w:rsid w:val="007D3061"/>
    <w:rsid w:val="00825789"/>
    <w:rsid w:val="00854CC4"/>
    <w:rsid w:val="00894FCE"/>
    <w:rsid w:val="00923749"/>
    <w:rsid w:val="0095281B"/>
    <w:rsid w:val="009914E5"/>
    <w:rsid w:val="009C360A"/>
    <w:rsid w:val="009E06D2"/>
    <w:rsid w:val="009F303E"/>
    <w:rsid w:val="00A06DE1"/>
    <w:rsid w:val="00A867F0"/>
    <w:rsid w:val="00AC52C1"/>
    <w:rsid w:val="00AF4B94"/>
    <w:rsid w:val="00B00426"/>
    <w:rsid w:val="00B1353E"/>
    <w:rsid w:val="00B316F4"/>
    <w:rsid w:val="00C23419"/>
    <w:rsid w:val="00C336AF"/>
    <w:rsid w:val="00C877A5"/>
    <w:rsid w:val="00CB0EAD"/>
    <w:rsid w:val="00CB5907"/>
    <w:rsid w:val="00CC3168"/>
    <w:rsid w:val="00CC7F1B"/>
    <w:rsid w:val="00CE0CA5"/>
    <w:rsid w:val="00CE1978"/>
    <w:rsid w:val="00D461C0"/>
    <w:rsid w:val="00D730F5"/>
    <w:rsid w:val="00DE2BE8"/>
    <w:rsid w:val="00DE3B83"/>
    <w:rsid w:val="00E03A11"/>
    <w:rsid w:val="00E17CCF"/>
    <w:rsid w:val="00E606A3"/>
    <w:rsid w:val="00E90C13"/>
    <w:rsid w:val="00EB5245"/>
    <w:rsid w:val="00F03D4C"/>
    <w:rsid w:val="00F74FAD"/>
    <w:rsid w:val="00FA521F"/>
    <w:rsid w:val="2FAFFA6B"/>
    <w:rsid w:val="6DF81283"/>
    <w:rsid w:val="7FD61469"/>
    <w:rsid w:val="BFEF8DFC"/>
    <w:rsid w:val="DF4FDB03"/>
    <w:rsid w:val="EFF8C765"/>
    <w:rsid w:val="F9ED2937"/>
    <w:rsid w:val="FB99B87A"/>
    <w:rsid w:val="FBCB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10</TotalTime>
  <ScaleCrop>false</ScaleCrop>
  <LinksUpToDate>false</LinksUpToDate>
  <CharactersWithSpaces>695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2017-02-08T22:07:00Z</dcterms:created>
  <dc:creator>caoyang</dc:creator>
  <cp:lastModifiedBy>user</cp:lastModifiedBy>
  <cp:lastPrinted>2022-11-14T14:57:30Z</cp:lastPrinted>
  <dcterms:modified xsi:type="dcterms:W3CDTF">2022-11-14T15:02:21Z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